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B11368" w14:textId="3BA12258" w:rsidR="003A043D" w:rsidRPr="0042310C" w:rsidRDefault="003A043D" w:rsidP="003A043D">
      <w:pPr>
        <w:pStyle w:val="Header"/>
        <w:tabs>
          <w:tab w:val="right" w:pos="9498"/>
        </w:tabs>
        <w:rPr>
          <w:rFonts w:cs="Arial"/>
          <w:bCs/>
          <w:sz w:val="22"/>
        </w:rPr>
      </w:pPr>
      <w:r w:rsidRPr="00723BFD">
        <w:rPr>
          <w:rFonts w:cs="Arial"/>
          <w:bCs/>
          <w:sz w:val="22"/>
        </w:rPr>
        <w:t>3GPP TSG-RAN WG1 Meeting #10</w:t>
      </w:r>
      <w:r w:rsidR="00CC4168" w:rsidRPr="00723BFD">
        <w:rPr>
          <w:rFonts w:cs="Arial"/>
          <w:bCs/>
          <w:sz w:val="22"/>
        </w:rPr>
        <w:t>3</w:t>
      </w:r>
      <w:r w:rsidRPr="00723BFD">
        <w:rPr>
          <w:rFonts w:cs="Arial"/>
          <w:bCs/>
          <w:sz w:val="22"/>
        </w:rPr>
        <w:t>-e</w:t>
      </w:r>
      <w:r w:rsidRPr="00723BFD">
        <w:rPr>
          <w:rFonts w:cs="Arial"/>
          <w:bCs/>
          <w:sz w:val="22"/>
        </w:rPr>
        <w:tab/>
        <w:t>Tdoc R1-</w:t>
      </w:r>
      <w:r w:rsidR="00AF4C75">
        <w:rPr>
          <w:rFonts w:cs="Arial"/>
          <w:bCs/>
          <w:sz w:val="22"/>
        </w:rPr>
        <w:t>2009844</w:t>
      </w:r>
    </w:p>
    <w:p w14:paraId="743E4011" w14:textId="64D5559C" w:rsidR="00447E11" w:rsidRPr="00C66FA3" w:rsidRDefault="00447E11" w:rsidP="00447E11">
      <w:pPr>
        <w:pStyle w:val="Header"/>
        <w:tabs>
          <w:tab w:val="right" w:pos="9639"/>
        </w:tabs>
        <w:rPr>
          <w:rFonts w:cs="Arial"/>
          <w:bCs/>
          <w:sz w:val="22"/>
        </w:rPr>
      </w:pPr>
      <w:r w:rsidRPr="0042310C">
        <w:rPr>
          <w:rFonts w:cs="Arial"/>
          <w:bCs/>
          <w:sz w:val="22"/>
        </w:rPr>
        <w:t xml:space="preserve">e-Meeting, </w:t>
      </w:r>
      <w:r w:rsidR="00E76A08" w:rsidRPr="00331CDF">
        <w:rPr>
          <w:rFonts w:cs="Arial"/>
          <w:bCs/>
          <w:sz w:val="22"/>
        </w:rPr>
        <w:t>October 26th – November 13th, 2020</w:t>
      </w:r>
      <w:r w:rsidRPr="0042310C">
        <w:rPr>
          <w:rFonts w:cs="Arial"/>
          <w:bCs/>
          <w:sz w:val="22"/>
        </w:rPr>
        <w:br/>
      </w:r>
      <w:r w:rsidRPr="0042310C">
        <w:rPr>
          <w:rFonts w:cs="Arial"/>
          <w:bCs/>
          <w:sz w:val="22"/>
        </w:rPr>
        <w:br/>
      </w:r>
    </w:p>
    <w:p w14:paraId="132CC111" w14:textId="3D8EEAE5" w:rsidR="00447E11" w:rsidRPr="00C66FA3" w:rsidRDefault="00447E11" w:rsidP="00447E11">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w:t>
      </w:r>
      <w:r w:rsidR="00AC45EE">
        <w:rPr>
          <w:rFonts w:ascii="Arial" w:hAnsi="Arial" w:cs="Arial"/>
          <w:b/>
        </w:rPr>
        <w:t>6</w:t>
      </w:r>
      <w:r w:rsidRPr="00C66FA3">
        <w:rPr>
          <w:rFonts w:ascii="Arial" w:hAnsi="Arial" w:cs="Arial"/>
          <w:b/>
        </w:rPr>
        <w:br/>
      </w:r>
    </w:p>
    <w:p w14:paraId="36F76A70" w14:textId="7FC2F8DB" w:rsidR="00447E11" w:rsidRPr="00C66FA3" w:rsidRDefault="00447E11" w:rsidP="00447E11">
      <w:pPr>
        <w:spacing w:after="60"/>
        <w:ind w:left="1985" w:hanging="1985"/>
        <w:rPr>
          <w:rFonts w:ascii="Arial" w:hAnsi="Arial" w:cs="Arial"/>
          <w:b/>
        </w:rPr>
      </w:pPr>
      <w:r w:rsidRPr="00C66FA3">
        <w:rPr>
          <w:rFonts w:ascii="Arial" w:hAnsi="Arial" w:cs="Arial"/>
          <w:b/>
        </w:rPr>
        <w:t>Title:</w:t>
      </w:r>
      <w:r w:rsidRPr="00C66FA3">
        <w:rPr>
          <w:rFonts w:ascii="Arial" w:hAnsi="Arial" w:cs="Arial"/>
          <w:b/>
        </w:rPr>
        <w:tab/>
      </w:r>
      <w:r w:rsidR="00E60348">
        <w:rPr>
          <w:rFonts w:ascii="Arial" w:hAnsi="Arial" w:cs="Arial"/>
          <w:b/>
        </w:rPr>
        <w:t>FL</w:t>
      </w:r>
      <w:r w:rsidRPr="00C66FA3">
        <w:rPr>
          <w:rFonts w:ascii="Arial" w:hAnsi="Arial" w:cs="Arial"/>
          <w:b/>
        </w:rPr>
        <w:t xml:space="preserve"> summary #</w:t>
      </w:r>
      <w:r w:rsidR="00F34EC6">
        <w:rPr>
          <w:rFonts w:ascii="Arial" w:hAnsi="Arial" w:cs="Arial"/>
          <w:b/>
        </w:rPr>
        <w:t>2</w:t>
      </w:r>
      <w:r w:rsidRPr="00C66FA3">
        <w:rPr>
          <w:rFonts w:ascii="Arial" w:hAnsi="Arial" w:cs="Arial"/>
          <w:b/>
        </w:rPr>
        <w:t xml:space="preserve"> for </w:t>
      </w:r>
      <w:r w:rsidR="000741DD">
        <w:rPr>
          <w:rFonts w:ascii="Arial" w:hAnsi="Arial" w:cs="Arial"/>
          <w:b/>
        </w:rPr>
        <w:t>TR38.875 update</w:t>
      </w:r>
      <w:r w:rsidR="004240C1">
        <w:rPr>
          <w:rFonts w:ascii="Arial" w:hAnsi="Arial" w:cs="Arial"/>
          <w:b/>
        </w:rPr>
        <w:t xml:space="preserve"> for RedCap</w:t>
      </w:r>
      <w:r w:rsidRPr="00C66FA3">
        <w:rPr>
          <w:rFonts w:ascii="Arial" w:hAnsi="Arial" w:cs="Arial"/>
          <w:b/>
        </w:rPr>
        <w:br/>
      </w:r>
    </w:p>
    <w:p w14:paraId="4CBB2C8B" w14:textId="30CA711C"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Source:</w:t>
      </w:r>
      <w:r w:rsidRPr="00930ED5">
        <w:rPr>
          <w:rFonts w:ascii="Arial" w:hAnsi="Arial" w:cs="Arial"/>
          <w:b/>
          <w:lang w:val="en-US"/>
        </w:rPr>
        <w:tab/>
      </w:r>
      <w:r w:rsidR="00F84891">
        <w:rPr>
          <w:rFonts w:ascii="Arial" w:hAnsi="Arial" w:cs="Arial"/>
          <w:b/>
          <w:lang w:val="en-US"/>
        </w:rPr>
        <w:t>Moderator</w:t>
      </w:r>
      <w:r w:rsidRPr="00930ED5">
        <w:rPr>
          <w:rFonts w:ascii="Arial" w:hAnsi="Arial" w:cs="Arial"/>
          <w:b/>
          <w:lang w:val="en-US"/>
        </w:rPr>
        <w:t xml:space="preserve"> (Ericsson)</w:t>
      </w:r>
      <w:r w:rsidRPr="00930ED5">
        <w:rPr>
          <w:rFonts w:ascii="Arial" w:hAnsi="Arial" w:cs="Arial"/>
          <w:b/>
          <w:lang w:val="en-US"/>
        </w:rPr>
        <w:br/>
      </w:r>
    </w:p>
    <w:p w14:paraId="43A8B2E1" w14:textId="77777777" w:rsidR="00447E11" w:rsidRPr="00930ED5" w:rsidRDefault="00447E11" w:rsidP="00447E11">
      <w:pPr>
        <w:spacing w:after="60"/>
        <w:ind w:left="1985" w:hanging="1985"/>
        <w:rPr>
          <w:rFonts w:ascii="Arial" w:hAnsi="Arial" w:cs="Arial"/>
          <w:b/>
          <w:lang w:val="en-US"/>
        </w:rPr>
      </w:pPr>
      <w:r w:rsidRPr="00930ED5">
        <w:rPr>
          <w:rFonts w:ascii="Arial" w:hAnsi="Arial" w:cs="Arial"/>
          <w:b/>
          <w:lang w:val="en-US"/>
        </w:rPr>
        <w:t>Document for:</w:t>
      </w:r>
      <w:r w:rsidRPr="00930ED5">
        <w:rPr>
          <w:rFonts w:ascii="Arial" w:hAnsi="Arial" w:cs="Arial"/>
          <w:b/>
          <w:lang w:val="en-US"/>
        </w:rPr>
        <w:tab/>
        <w:t>Discussion, Decision</w:t>
      </w:r>
    </w:p>
    <w:p w14:paraId="45500C18" w14:textId="334226AB" w:rsidR="00010432" w:rsidRDefault="00010432"/>
    <w:p w14:paraId="2AECD0CF" w14:textId="77777777" w:rsidR="00010432" w:rsidRDefault="002703F5">
      <w:pPr>
        <w:pStyle w:val="Heading1"/>
      </w:pPr>
      <w:bookmarkStart w:id="0" w:name="foreword"/>
      <w:bookmarkStart w:id="1" w:name="scope"/>
      <w:bookmarkStart w:id="2" w:name="_Toc42034909"/>
      <w:bookmarkStart w:id="3" w:name="_Toc42211920"/>
      <w:bookmarkEnd w:id="0"/>
      <w:bookmarkEnd w:id="1"/>
      <w:r>
        <w:t>1</w:t>
      </w:r>
      <w:r>
        <w:tab/>
        <w:t>Introduction</w:t>
      </w:r>
      <w:bookmarkEnd w:id="2"/>
      <w:bookmarkEnd w:id="3"/>
    </w:p>
    <w:p w14:paraId="44BF487A" w14:textId="64AADDD3" w:rsidR="00B220E3" w:rsidRDefault="00B220E3" w:rsidP="00B220E3">
      <w:pPr>
        <w:jc w:val="both"/>
        <w:rPr>
          <w:lang w:eastAsia="x-none"/>
        </w:rPr>
      </w:pPr>
      <w:r w:rsidRPr="00D61814">
        <w:rPr>
          <w:lang w:val="en-US"/>
        </w:rPr>
        <w:t>This document captures the RAN1#103e RedCap email discussion</w:t>
      </w:r>
      <w:r w:rsidR="00314126">
        <w:rPr>
          <w:lang w:val="en-US"/>
        </w:rPr>
        <w:t xml:space="preserve"> for TR38.875 update [</w:t>
      </w:r>
      <w:r w:rsidR="00314126" w:rsidRPr="00B220E3">
        <w:rPr>
          <w:lang w:eastAsia="x-none"/>
        </w:rPr>
        <w:t>103-e-NR-RedCap-01]</w:t>
      </w:r>
      <w:r w:rsidR="00314126">
        <w:rPr>
          <w:lang w:eastAsia="x-none"/>
        </w:rPr>
        <w:t>.</w:t>
      </w:r>
    </w:p>
    <w:p w14:paraId="0A0CCCCF" w14:textId="4C211E47" w:rsidR="009848BE" w:rsidRDefault="009848BE" w:rsidP="00B220E3">
      <w:pPr>
        <w:jc w:val="both"/>
        <w:rPr>
          <w:lang w:eastAsia="x-none"/>
        </w:rPr>
      </w:pPr>
      <w:r>
        <w:rPr>
          <w:lang w:eastAsia="x-none"/>
        </w:rPr>
        <w:t xml:space="preserve">The first round of this email discussion </w:t>
      </w:r>
      <w:r w:rsidR="000A16CB">
        <w:rPr>
          <w:lang w:eastAsia="x-none"/>
        </w:rPr>
        <w:t>is</w:t>
      </w:r>
      <w:r>
        <w:rPr>
          <w:lang w:eastAsia="x-none"/>
        </w:rPr>
        <w:t xml:space="preserve"> captured in FL summary #1 (FLS1) in </w:t>
      </w:r>
      <w:hyperlink r:id="rId11" w:history="1">
        <w:r w:rsidRPr="009848BE">
          <w:rPr>
            <w:rStyle w:val="Hyperlink"/>
            <w:lang w:eastAsia="x-none"/>
          </w:rPr>
          <w:t>R1-2009843</w:t>
        </w:r>
      </w:hyperlink>
      <w:r>
        <w:rPr>
          <w:lang w:eastAsia="x-none"/>
        </w:rPr>
        <w:t>.</w:t>
      </w:r>
    </w:p>
    <w:p w14:paraId="2E56078B" w14:textId="77777777" w:rsidR="0088168A" w:rsidRDefault="0088168A" w:rsidP="00B220E3">
      <w:pPr>
        <w:jc w:val="both"/>
        <w:rPr>
          <w:lang w:eastAsia="x-none"/>
        </w:rPr>
      </w:pPr>
      <w:r>
        <w:rPr>
          <w:lang w:eastAsia="x-none"/>
        </w:rPr>
        <w:t xml:space="preserve">The draft TR version under review in this round was </w:t>
      </w:r>
      <w:hyperlink r:id="rId12" w:history="1">
        <w:r w:rsidRPr="002E3D33">
          <w:rPr>
            <w:rStyle w:val="Hyperlink"/>
            <w:lang w:eastAsia="x-none"/>
          </w:rPr>
          <w:t>RedCapTRupdate-v005-Rapporteur-Rapporteur.docx</w:t>
        </w:r>
      </w:hyperlink>
      <w:r>
        <w:rPr>
          <w:lang w:eastAsia="x-none"/>
        </w:rPr>
        <w:t>.</w:t>
      </w:r>
    </w:p>
    <w:p w14:paraId="19766F8E" w14:textId="1DF43340" w:rsidR="0088168A" w:rsidRDefault="0088168A" w:rsidP="00B220E3">
      <w:pPr>
        <w:jc w:val="both"/>
        <w:rPr>
          <w:lang w:eastAsia="x-none"/>
        </w:rPr>
      </w:pPr>
      <w:r>
        <w:rPr>
          <w:lang w:eastAsia="x-none"/>
        </w:rPr>
        <w:t>Based on the review comments provided in this discussion document, an updated TR version was provided</w:t>
      </w:r>
      <w:r w:rsidR="00DB7FC1">
        <w:rPr>
          <w:lang w:eastAsia="x-none"/>
        </w:rPr>
        <w:t xml:space="preserve"> with change tracking</w:t>
      </w:r>
      <w:r>
        <w:rPr>
          <w:lang w:eastAsia="x-none"/>
        </w:rPr>
        <w:t xml:space="preserve"> in </w:t>
      </w:r>
      <w:hyperlink r:id="rId13" w:history="1">
        <w:r>
          <w:rPr>
            <w:rStyle w:val="Hyperlink"/>
            <w:lang w:eastAsia="x-none"/>
          </w:rPr>
          <w:t>RedCapTRupdate-v006-Rapporteur-Rapporteur.docx</w:t>
        </w:r>
      </w:hyperlink>
      <w:r>
        <w:rPr>
          <w:lang w:eastAsia="x-none"/>
        </w:rPr>
        <w:t xml:space="preserve"> and without change tracking in</w:t>
      </w:r>
      <w:r>
        <w:rPr>
          <w:lang w:eastAsia="x-none"/>
        </w:rPr>
        <w:t xml:space="preserve"> </w:t>
      </w:r>
      <w:hyperlink r:id="rId14" w:history="1">
        <w:r>
          <w:rPr>
            <w:rStyle w:val="Hyperlink"/>
            <w:lang w:eastAsia="x-none"/>
          </w:rPr>
          <w:t>R1-2009816</w:t>
        </w:r>
      </w:hyperlink>
      <w:r>
        <w:rPr>
          <w:lang w:eastAsia="x-none"/>
        </w:rPr>
        <w:t>.</w:t>
      </w:r>
      <w:bookmarkStart w:id="4" w:name="_GoBack"/>
      <w:bookmarkEnd w:id="4"/>
    </w:p>
    <w:p w14:paraId="3A528136" w14:textId="06C2BF4C" w:rsidR="00007E6B" w:rsidRDefault="00B220E3" w:rsidP="00007E6B">
      <w:pPr>
        <w:pStyle w:val="Heading1"/>
      </w:pPr>
      <w:r>
        <w:t>2</w:t>
      </w:r>
      <w:r w:rsidR="00007E6B">
        <w:tab/>
      </w:r>
      <w:r w:rsidR="00F921BC">
        <w:t>Discussion</w:t>
      </w:r>
    </w:p>
    <w:tbl>
      <w:tblPr>
        <w:tblStyle w:val="TableGrid"/>
        <w:tblW w:w="9634" w:type="dxa"/>
        <w:tblLook w:val="04A0" w:firstRow="1" w:lastRow="0" w:firstColumn="1" w:lastColumn="0" w:noHBand="0" w:noVBand="1"/>
      </w:tblPr>
      <w:tblGrid>
        <w:gridCol w:w="1479"/>
        <w:gridCol w:w="8155"/>
      </w:tblGrid>
      <w:tr w:rsidR="00C371EC" w14:paraId="726CC3B7" w14:textId="77777777" w:rsidTr="00C371EC">
        <w:tc>
          <w:tcPr>
            <w:tcW w:w="1479" w:type="dxa"/>
            <w:shd w:val="clear" w:color="auto" w:fill="D9D9D9" w:themeFill="background1" w:themeFillShade="D9"/>
          </w:tcPr>
          <w:p w14:paraId="1BE99A64" w14:textId="77777777" w:rsidR="00C371EC" w:rsidRDefault="00C371EC" w:rsidP="00596364">
            <w:pPr>
              <w:rPr>
                <w:b/>
                <w:bCs/>
              </w:rPr>
            </w:pPr>
            <w:r>
              <w:rPr>
                <w:b/>
                <w:bCs/>
              </w:rPr>
              <w:t>Company</w:t>
            </w:r>
          </w:p>
        </w:tc>
        <w:tc>
          <w:tcPr>
            <w:tcW w:w="8155" w:type="dxa"/>
            <w:shd w:val="clear" w:color="auto" w:fill="D9D9D9" w:themeFill="background1" w:themeFillShade="D9"/>
          </w:tcPr>
          <w:p w14:paraId="5B01E2F5" w14:textId="06428A41" w:rsidR="00C371EC" w:rsidRDefault="00C371EC" w:rsidP="00596364">
            <w:pPr>
              <w:rPr>
                <w:b/>
                <w:bCs/>
              </w:rPr>
            </w:pPr>
            <w:r>
              <w:rPr>
                <w:b/>
                <w:bCs/>
              </w:rPr>
              <w:t>Comments or suggested revisions</w:t>
            </w:r>
            <w:r w:rsidR="002E3D33">
              <w:rPr>
                <w:b/>
                <w:bCs/>
              </w:rPr>
              <w:t xml:space="preserve"> for </w:t>
            </w:r>
            <w:hyperlink r:id="rId15" w:history="1">
              <w:r w:rsidR="002E3D33" w:rsidRPr="002E3D33">
                <w:rPr>
                  <w:rStyle w:val="Hyperlink"/>
                  <w:lang w:eastAsia="x-none"/>
                </w:rPr>
                <w:t>RedCapTRupdate-v005-Rapporteur-Rapporteur.docx</w:t>
              </w:r>
            </w:hyperlink>
          </w:p>
        </w:tc>
      </w:tr>
      <w:tr w:rsidR="00C371EC" w14:paraId="3FECD354" w14:textId="77777777" w:rsidTr="00C371EC">
        <w:tc>
          <w:tcPr>
            <w:tcW w:w="1479" w:type="dxa"/>
          </w:tcPr>
          <w:p w14:paraId="519D4734" w14:textId="690DFA11" w:rsidR="00C371EC" w:rsidRDefault="00253642" w:rsidP="00596364">
            <w:pPr>
              <w:rPr>
                <w:lang w:val="en-US" w:eastAsia="ko-KR"/>
              </w:rPr>
            </w:pPr>
            <w:r>
              <w:rPr>
                <w:lang w:val="en-US" w:eastAsia="ko-KR"/>
              </w:rPr>
              <w:t>FUTUREWEI</w:t>
            </w:r>
          </w:p>
        </w:tc>
        <w:tc>
          <w:tcPr>
            <w:tcW w:w="8155" w:type="dxa"/>
          </w:tcPr>
          <w:p w14:paraId="5F2EFC97" w14:textId="48950F02" w:rsidR="00C371EC" w:rsidRDefault="00253642" w:rsidP="00596364">
            <w:pPr>
              <w:rPr>
                <w:lang w:val="en-US"/>
              </w:rPr>
            </w:pPr>
            <w:r>
              <w:rPr>
                <w:lang w:val="en-US"/>
              </w:rPr>
              <w:t>Thanks so much for the huge effort assembling the TR! A few comments, below.</w:t>
            </w:r>
          </w:p>
          <w:p w14:paraId="0CAE9D6E" w14:textId="35DD9B62" w:rsidR="00253642" w:rsidRPr="00253642" w:rsidRDefault="00253642" w:rsidP="00253642">
            <w:pPr>
              <w:numPr>
                <w:ilvl w:val="0"/>
                <w:numId w:val="26"/>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All editor's notes should be removed for the version sent to RAN</w:t>
            </w:r>
            <w:r>
              <w:rPr>
                <w:rFonts w:ascii="Calibri" w:eastAsia="Times New Roman" w:hAnsi="Calibri" w:cs="Calibri"/>
                <w:color w:val="000000"/>
                <w:sz w:val="24"/>
                <w:szCs w:val="24"/>
                <w:lang w:val="en-US"/>
              </w:rPr>
              <w:t xml:space="preserve">, except perhaps for a note (in black font) for 10.2.1 and 11.2.1 saying that this is up to RAN2 in the SI or WI. You can also consider to remove the empty subsections </w:t>
            </w:r>
            <w:r w:rsidRPr="00253642">
              <w:rPr>
                <w:rFonts w:ascii="Calibri" w:eastAsia="Times New Roman" w:hAnsi="Calibri" w:cs="Calibri"/>
                <w:color w:val="000000"/>
                <w:sz w:val="24"/>
                <w:szCs w:val="24"/>
                <w:lang w:val="en-US"/>
              </w:rPr>
              <w:t>10.1.2, 10.1.3, 10.2.2, 10.2.3, 11.1.2, 11.1.3, 11.2.2, 11.2.3</w:t>
            </w:r>
            <w:r>
              <w:rPr>
                <w:rFonts w:ascii="Calibri" w:eastAsia="Times New Roman" w:hAnsi="Calibri" w:cs="Calibri"/>
                <w:color w:val="000000"/>
                <w:sz w:val="24"/>
                <w:szCs w:val="24"/>
                <w:lang w:val="en-US"/>
              </w:rPr>
              <w:t xml:space="preserve"> if there is no text being added at this RAN.</w:t>
            </w:r>
          </w:p>
          <w:p w14:paraId="3D56F628" w14:textId="77777777" w:rsidR="00253642" w:rsidRPr="00253642" w:rsidRDefault="00253642" w:rsidP="00253642">
            <w:pPr>
              <w:numPr>
                <w:ilvl w:val="0"/>
                <w:numId w:val="27"/>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p8 Introduction change URLCC to URLLC</w:t>
            </w:r>
          </w:p>
          <w:p w14:paraId="4C2E3492" w14:textId="4E543179" w:rsidR="00253642" w:rsidRPr="00253642" w:rsidRDefault="00253642" w:rsidP="00253642">
            <w:pPr>
              <w:numPr>
                <w:ilvl w:val="0"/>
                <w:numId w:val="27"/>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 xml:space="preserve">p14 Table 6.2.2-3 </w:t>
            </w:r>
            <w:r>
              <w:rPr>
                <w:rFonts w:ascii="Calibri" w:eastAsia="Times New Roman" w:hAnsi="Calibri" w:cs="Calibri"/>
                <w:color w:val="000000"/>
                <w:sz w:val="24"/>
                <w:szCs w:val="24"/>
                <w:lang w:val="en-US"/>
              </w:rPr>
              <w:t xml:space="preserve">consider to </w:t>
            </w:r>
            <w:r w:rsidRPr="00253642">
              <w:rPr>
                <w:rFonts w:ascii="Calibri" w:eastAsia="Times New Roman" w:hAnsi="Calibri" w:cs="Calibri"/>
                <w:color w:val="000000"/>
                <w:sz w:val="24"/>
                <w:szCs w:val="24"/>
                <w:lang w:val="en-US"/>
              </w:rPr>
              <w:t>delete the red text in the Note</w:t>
            </w:r>
          </w:p>
          <w:p w14:paraId="23A3AF4A" w14:textId="77777777" w:rsidR="00253642" w:rsidRPr="00253642" w:rsidRDefault="00253642" w:rsidP="00253642">
            <w:pPr>
              <w:shd w:val="clear" w:color="auto" w:fill="FFFFFF"/>
              <w:spacing w:after="0"/>
              <w:textAlignment w:val="baseline"/>
              <w:rPr>
                <w:rFonts w:ascii="Calibri" w:eastAsia="Times New Roman" w:hAnsi="Calibri" w:cs="Calibri"/>
                <w:color w:val="000000"/>
                <w:sz w:val="24"/>
                <w:szCs w:val="24"/>
                <w:lang w:val="en-US"/>
              </w:rPr>
            </w:pPr>
            <w:r w:rsidRPr="00253642">
              <w:rPr>
                <w:rFonts w:eastAsia="Times New Roman"/>
                <w:color w:val="000000"/>
                <w:bdr w:val="none" w:sz="0" w:space="0" w:color="auto" w:frame="1"/>
                <w:lang w:val="en-US"/>
              </w:rPr>
              <w:t>Note: For the cases where the number of PDCCH candidates per AL is more than 8, </w:t>
            </w:r>
            <w:r w:rsidRPr="00253642">
              <w:rPr>
                <w:rFonts w:eastAsia="Times New Roman"/>
                <w:color w:val="C82613"/>
                <w:bdr w:val="none" w:sz="0" w:space="0" w:color="auto" w:frame="1"/>
                <w:lang w:val="en-US"/>
              </w:rPr>
              <w:t>the following configuration should be assumed, i.e., </w:t>
            </w:r>
            <w:r w:rsidRPr="00253642">
              <w:rPr>
                <w:rFonts w:eastAsia="Times New Roman"/>
                <w:color w:val="000000"/>
                <w:bdr w:val="none" w:sz="0" w:space="0" w:color="auto" w:frame="1"/>
                <w:lang w:val="en-US"/>
              </w:rPr>
              <w:t>multiple overlapping search space sets are allowed.</w:t>
            </w:r>
          </w:p>
          <w:p w14:paraId="59887316" w14:textId="77777777" w:rsidR="00253642" w:rsidRPr="00253642" w:rsidRDefault="00253642" w:rsidP="00253642">
            <w:pPr>
              <w:numPr>
                <w:ilvl w:val="0"/>
                <w:numId w:val="28"/>
              </w:numPr>
              <w:shd w:val="clear" w:color="auto" w:fill="FFFFFF"/>
              <w:spacing w:beforeAutospacing="1" w:after="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p14 second bullet of Step 1 change: "</w:t>
            </w:r>
            <w:r w:rsidRPr="00253642">
              <w:rPr>
                <w:rFonts w:eastAsia="Times New Roman"/>
                <w:color w:val="000000"/>
                <w:bdr w:val="none" w:sz="0" w:space="0" w:color="auto" w:frame="1"/>
                <w:lang w:val="en-US"/>
              </w:rPr>
              <w:t>for company ‘j’. M represents  " </w:t>
            </w:r>
            <w:r w:rsidRPr="00253642">
              <w:rPr>
                <w:rFonts w:ascii="Calibri" w:eastAsia="Times New Roman" w:hAnsi="Calibri" w:cs="Calibri"/>
                <w:color w:val="000000"/>
                <w:sz w:val="24"/>
                <w:szCs w:val="24"/>
                <w:lang w:val="en-US"/>
              </w:rPr>
              <w:t>to  "</w:t>
            </w:r>
            <w:r w:rsidRPr="00253642">
              <w:rPr>
                <w:rFonts w:eastAsia="Times New Roman"/>
                <w:color w:val="000000"/>
                <w:bdr w:val="none" w:sz="0" w:space="0" w:color="auto" w:frame="1"/>
                <w:lang w:val="en-US"/>
              </w:rPr>
              <w:t>for company ‘j’, 'M' represents"</w:t>
            </w:r>
          </w:p>
          <w:p w14:paraId="6081510A" w14:textId="2F68C5C3" w:rsidR="00253642" w:rsidRDefault="00253642" w:rsidP="00253642">
            <w:pPr>
              <w:numPr>
                <w:ilvl w:val="0"/>
                <w:numId w:val="28"/>
              </w:numPr>
              <w:shd w:val="clear" w:color="auto" w:fill="FFFFFF"/>
              <w:spacing w:beforeAutospacing="1" w:after="0" w:afterAutospacing="1"/>
              <w:textAlignment w:val="baseline"/>
              <w:rPr>
                <w:rFonts w:ascii="Calibri" w:eastAsia="Times New Roman" w:hAnsi="Calibri" w:cs="Calibri"/>
                <w:color w:val="000000"/>
                <w:sz w:val="24"/>
                <w:szCs w:val="24"/>
                <w:lang w:val="en-US"/>
              </w:rPr>
            </w:pPr>
            <w:r>
              <w:rPr>
                <w:rFonts w:ascii="Calibri" w:eastAsia="Times New Roman" w:hAnsi="Calibri" w:cs="Calibri"/>
                <w:color w:val="000000"/>
                <w:sz w:val="24"/>
                <w:szCs w:val="24"/>
                <w:lang w:val="en-US"/>
              </w:rPr>
              <w:t xml:space="preserve">p16 if nobody submitted results for 50MHz using the “Optionally, 12.5Mbps..” it would be better to delete that </w:t>
            </w:r>
            <w:proofErr w:type="spellStart"/>
            <w:r>
              <w:rPr>
                <w:rFonts w:ascii="Calibri" w:eastAsia="Times New Roman" w:hAnsi="Calibri" w:cs="Calibri"/>
                <w:color w:val="000000"/>
                <w:sz w:val="24"/>
                <w:szCs w:val="24"/>
                <w:lang w:val="en-US"/>
              </w:rPr>
              <w:t>subbullet</w:t>
            </w:r>
            <w:proofErr w:type="spellEnd"/>
          </w:p>
          <w:p w14:paraId="2E3ABA67" w14:textId="78AEAF20" w:rsidR="00253642" w:rsidRPr="00253642" w:rsidRDefault="00253642" w:rsidP="00253642">
            <w:pPr>
              <w:numPr>
                <w:ilvl w:val="0"/>
                <w:numId w:val="28"/>
              </w:numPr>
              <w:shd w:val="clear" w:color="auto" w:fill="FFFFFF"/>
              <w:spacing w:beforeAutospacing="1" w:after="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p22 add a d to analyze : </w:t>
            </w:r>
            <w:r w:rsidRPr="00253642">
              <w:rPr>
                <w:rFonts w:eastAsia="Times New Roman"/>
                <w:color w:val="000000"/>
                <w:bdr w:val="none" w:sz="0" w:space="0" w:color="auto" w:frame="1"/>
              </w:rPr>
              <w:t>A few contributions analyse</w:t>
            </w:r>
            <w:r w:rsidRPr="00253642">
              <w:rPr>
                <w:rFonts w:eastAsia="Times New Roman"/>
                <w:color w:val="FF0000"/>
                <w:bdr w:val="none" w:sz="0" w:space="0" w:color="auto" w:frame="1"/>
              </w:rPr>
              <w:t>d</w:t>
            </w:r>
            <w:r w:rsidRPr="00253642">
              <w:rPr>
                <w:rFonts w:eastAsia="Times New Roman"/>
                <w:color w:val="000000"/>
                <w:bdr w:val="none" w:sz="0" w:space="0" w:color="auto" w:frame="1"/>
              </w:rPr>
              <w:t xml:space="preserve"> other mixes of bandwidths.</w:t>
            </w:r>
          </w:p>
          <w:p w14:paraId="11EC83D2" w14:textId="77777777" w:rsidR="00253642" w:rsidRPr="00253642" w:rsidRDefault="00253642" w:rsidP="00253642">
            <w:pPr>
              <w:numPr>
                <w:ilvl w:val="0"/>
                <w:numId w:val="28"/>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p27 After the first sentence of 7.5.1 it would be good to add a sentence to explain what N1 and N2 are, though it can be inferred from the later text under Latency and reliability.</w:t>
            </w:r>
          </w:p>
          <w:p w14:paraId="3989BE0C" w14:textId="77777777" w:rsidR="00253642" w:rsidRPr="00253642" w:rsidRDefault="00253642" w:rsidP="00253642">
            <w:pPr>
              <w:numPr>
                <w:ilvl w:val="0"/>
                <w:numId w:val="28"/>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t>p28 in latency and reliability the variables N1 and N2 should use subscripts</w:t>
            </w:r>
          </w:p>
          <w:p w14:paraId="2ECB14E1" w14:textId="0C59DDF7" w:rsidR="00253642" w:rsidRPr="00253642" w:rsidRDefault="00253642" w:rsidP="00596364">
            <w:pPr>
              <w:numPr>
                <w:ilvl w:val="0"/>
                <w:numId w:val="28"/>
              </w:numPr>
              <w:shd w:val="clear" w:color="auto" w:fill="FFFFFF"/>
              <w:spacing w:before="100" w:beforeAutospacing="1" w:after="100" w:afterAutospacing="1"/>
              <w:textAlignment w:val="baseline"/>
              <w:rPr>
                <w:rFonts w:ascii="Calibri" w:eastAsia="Times New Roman" w:hAnsi="Calibri" w:cs="Calibri"/>
                <w:color w:val="000000"/>
                <w:sz w:val="24"/>
                <w:szCs w:val="24"/>
                <w:lang w:val="en-US"/>
              </w:rPr>
            </w:pPr>
            <w:r w:rsidRPr="00253642">
              <w:rPr>
                <w:rFonts w:ascii="Calibri" w:eastAsia="Times New Roman" w:hAnsi="Calibri" w:cs="Calibri"/>
                <w:color w:val="000000"/>
                <w:sz w:val="24"/>
                <w:szCs w:val="24"/>
                <w:lang w:val="en-US"/>
              </w:rPr>
              <w:lastRenderedPageBreak/>
              <w:t>p63 the TR should not include 'FFS', so in the conclusion should not include the FFS point in the text. It can still be discussed in the WI.</w:t>
            </w:r>
          </w:p>
        </w:tc>
      </w:tr>
      <w:tr w:rsidR="00C371EC" w:rsidRPr="008E3AB5" w14:paraId="3046DB54" w14:textId="77777777" w:rsidTr="00C371EC">
        <w:tc>
          <w:tcPr>
            <w:tcW w:w="1479" w:type="dxa"/>
          </w:tcPr>
          <w:p w14:paraId="7B742450" w14:textId="20444777" w:rsidR="00C371EC" w:rsidRPr="0058733D" w:rsidRDefault="0058733D" w:rsidP="00596364">
            <w:pPr>
              <w:rPr>
                <w:rFonts w:eastAsia="DengXian"/>
                <w:lang w:val="en-US" w:eastAsia="zh-CN"/>
              </w:rPr>
            </w:pPr>
            <w:r>
              <w:rPr>
                <w:rFonts w:eastAsia="DengXian" w:hint="eastAsia"/>
                <w:lang w:val="en-US" w:eastAsia="zh-CN"/>
              </w:rPr>
              <w:lastRenderedPageBreak/>
              <w:t>v</w:t>
            </w:r>
            <w:r>
              <w:rPr>
                <w:rFonts w:eastAsia="DengXian"/>
                <w:lang w:val="en-US" w:eastAsia="zh-CN"/>
              </w:rPr>
              <w:t>ivo</w:t>
            </w:r>
          </w:p>
        </w:tc>
        <w:tc>
          <w:tcPr>
            <w:tcW w:w="8155" w:type="dxa"/>
          </w:tcPr>
          <w:p w14:paraId="56366BF9" w14:textId="77777777" w:rsidR="005075C1" w:rsidRDefault="005075C1" w:rsidP="00EC4B31">
            <w:pPr>
              <w:pStyle w:val="ListParagraph"/>
              <w:numPr>
                <w:ilvl w:val="0"/>
                <w:numId w:val="31"/>
              </w:numPr>
              <w:rPr>
                <w:rFonts w:eastAsia="DengXian"/>
                <w:lang w:val="en-US" w:eastAsia="zh-CN"/>
              </w:rPr>
            </w:pPr>
            <w:r>
              <w:rPr>
                <w:rFonts w:eastAsia="DengXian" w:hint="eastAsia"/>
                <w:lang w:val="en-US" w:eastAsia="zh-CN"/>
              </w:rPr>
              <w:t>O</w:t>
            </w:r>
            <w:r>
              <w:rPr>
                <w:rFonts w:eastAsia="DengXian"/>
                <w:lang w:val="en-US" w:eastAsia="zh-CN"/>
              </w:rPr>
              <w:t xml:space="preserve">n section 11.1.1, </w:t>
            </w:r>
          </w:p>
          <w:p w14:paraId="73362CF4" w14:textId="3E1A64C5" w:rsidR="005075C1" w:rsidRDefault="005075C1" w:rsidP="005075C1">
            <w:pPr>
              <w:pStyle w:val="ListParagraph"/>
              <w:numPr>
                <w:ilvl w:val="1"/>
                <w:numId w:val="31"/>
              </w:numPr>
              <w:rPr>
                <w:rFonts w:eastAsia="DengXian"/>
                <w:lang w:val="en-US" w:eastAsia="zh-CN"/>
              </w:rPr>
            </w:pPr>
            <w:r>
              <w:rPr>
                <w:rFonts w:eastAsia="DengXian"/>
                <w:lang w:val="en-US" w:eastAsia="zh-CN"/>
              </w:rPr>
              <w:t>The following RAN1 agreement regarding option 4 is missing thus should be added</w:t>
            </w:r>
          </w:p>
          <w:tbl>
            <w:tblPr>
              <w:tblStyle w:val="TableGrid"/>
              <w:tblW w:w="0" w:type="auto"/>
              <w:tblLook w:val="04A0" w:firstRow="1" w:lastRow="0" w:firstColumn="1" w:lastColumn="0" w:noHBand="0" w:noVBand="1"/>
            </w:tblPr>
            <w:tblGrid>
              <w:gridCol w:w="7929"/>
            </w:tblGrid>
            <w:tr w:rsidR="001A42C4" w14:paraId="2B035BD6" w14:textId="77777777" w:rsidTr="001A42C4">
              <w:tc>
                <w:tcPr>
                  <w:tcW w:w="7929" w:type="dxa"/>
                </w:tcPr>
                <w:p w14:paraId="04D5AA0A" w14:textId="77777777" w:rsidR="001A42C4" w:rsidRPr="00987E32" w:rsidRDefault="001A42C4" w:rsidP="001A42C4">
                  <w:pPr>
                    <w:rPr>
                      <w:highlight w:val="green"/>
                    </w:rPr>
                  </w:pPr>
                  <w:r w:rsidRPr="00987E32">
                    <w:rPr>
                      <w:highlight w:val="green"/>
                    </w:rPr>
                    <w:t>Agreements:</w:t>
                  </w:r>
                </w:p>
                <w:p w14:paraId="486A2467" w14:textId="5D833645" w:rsidR="001A42C4" w:rsidRPr="001A42C4" w:rsidRDefault="001A42C4" w:rsidP="001A42C4">
                  <w:pPr>
                    <w:numPr>
                      <w:ilvl w:val="0"/>
                      <w:numId w:val="32"/>
                    </w:numPr>
                    <w:spacing w:after="0"/>
                  </w:pPr>
                  <w:r w:rsidRPr="00987E32">
                    <w:t>Considerations on Option 4 (during MsgA transmission) are deprioritized until further progress is made on Options 1 and 2 for 4-step RACH procedure.</w:t>
                  </w:r>
                </w:p>
              </w:tc>
            </w:tr>
          </w:tbl>
          <w:p w14:paraId="15989F1A" w14:textId="77777777" w:rsidR="001A42C4" w:rsidRPr="001A42C4" w:rsidRDefault="001A42C4" w:rsidP="001A42C4">
            <w:pPr>
              <w:rPr>
                <w:rFonts w:eastAsia="DengXian"/>
                <w:lang w:val="en-US" w:eastAsia="zh-CN"/>
              </w:rPr>
            </w:pPr>
          </w:p>
          <w:p w14:paraId="4616E291" w14:textId="0DC5D979" w:rsidR="001A42C4" w:rsidRDefault="001A42C4" w:rsidP="001A42C4">
            <w:pPr>
              <w:pStyle w:val="ListParagraph"/>
              <w:numPr>
                <w:ilvl w:val="1"/>
                <w:numId w:val="31"/>
              </w:numPr>
              <w:rPr>
                <w:rFonts w:eastAsia="DengXian"/>
                <w:lang w:val="en-US" w:eastAsia="zh-CN"/>
              </w:rPr>
            </w:pPr>
            <w:r>
              <w:rPr>
                <w:rFonts w:eastAsia="DengXian" w:hint="eastAsia"/>
                <w:lang w:val="en-US" w:eastAsia="zh-CN"/>
              </w:rPr>
              <w:t>T</w:t>
            </w:r>
            <w:r>
              <w:rPr>
                <w:rFonts w:eastAsia="DengXian"/>
                <w:lang w:val="en-US" w:eastAsia="zh-CN"/>
              </w:rPr>
              <w:t>he following note is missing for the feasibility of option 1</w:t>
            </w:r>
          </w:p>
          <w:tbl>
            <w:tblPr>
              <w:tblStyle w:val="TableGrid"/>
              <w:tblW w:w="0" w:type="auto"/>
              <w:tblLook w:val="04A0" w:firstRow="1" w:lastRow="0" w:firstColumn="1" w:lastColumn="0" w:noHBand="0" w:noVBand="1"/>
            </w:tblPr>
            <w:tblGrid>
              <w:gridCol w:w="7929"/>
            </w:tblGrid>
            <w:tr w:rsidR="001A42C4" w14:paraId="44A4B097" w14:textId="77777777" w:rsidTr="001A42C4">
              <w:tc>
                <w:tcPr>
                  <w:tcW w:w="7929" w:type="dxa"/>
                </w:tcPr>
                <w:p w14:paraId="1F1A07A9" w14:textId="7953F5AF" w:rsidR="001A42C4" w:rsidRPr="001A42C4" w:rsidRDefault="001A42C4" w:rsidP="001A42C4">
                  <w:pPr>
                    <w:pStyle w:val="ListParagraph"/>
                    <w:numPr>
                      <w:ilvl w:val="0"/>
                      <w:numId w:val="32"/>
                    </w:numPr>
                    <w:autoSpaceDE w:val="0"/>
                    <w:autoSpaceDN w:val="0"/>
                    <w:adjustRightInd w:val="0"/>
                    <w:snapToGrid w:val="0"/>
                    <w:spacing w:after="120" w:line="240" w:lineRule="auto"/>
                    <w:jc w:val="both"/>
                  </w:pPr>
                  <w:r w:rsidRPr="005D0E3F">
                    <w:rPr>
                      <w:b/>
                      <w:bCs/>
                    </w:rPr>
                    <w:t>Note:</w:t>
                  </w:r>
                  <w:r w:rsidRPr="005D0E3F">
                    <w:t xml:space="preserve"> The appropriateness of each solution, considering the number of UE type(s) to be indicated, etc. needs further considerations.</w:t>
                  </w:r>
                </w:p>
              </w:tc>
            </w:tr>
          </w:tbl>
          <w:p w14:paraId="7A34B9B7" w14:textId="77777777" w:rsidR="001A42C4" w:rsidRPr="001A42C4" w:rsidRDefault="001A42C4" w:rsidP="001A42C4">
            <w:pPr>
              <w:rPr>
                <w:rFonts w:eastAsia="DengXian"/>
                <w:lang w:val="en-US" w:eastAsia="zh-CN"/>
              </w:rPr>
            </w:pPr>
          </w:p>
          <w:p w14:paraId="26FF8D24" w14:textId="250531A3" w:rsidR="001A42C4" w:rsidRDefault="001A42C4" w:rsidP="001A42C4">
            <w:pPr>
              <w:pStyle w:val="ListParagraph"/>
              <w:numPr>
                <w:ilvl w:val="1"/>
                <w:numId w:val="31"/>
              </w:numPr>
              <w:rPr>
                <w:rFonts w:eastAsia="DengXian"/>
                <w:lang w:val="en-US" w:eastAsia="zh-CN"/>
              </w:rPr>
            </w:pPr>
            <w:r w:rsidRPr="001A42C4">
              <w:rPr>
                <w:rFonts w:eastAsia="DengXian" w:hint="eastAsia"/>
                <w:lang w:val="en-US" w:eastAsia="zh-CN"/>
              </w:rPr>
              <w:t>T</w:t>
            </w:r>
            <w:r w:rsidRPr="001A42C4">
              <w:rPr>
                <w:rFonts w:eastAsia="DengXian"/>
                <w:lang w:val="en-US" w:eastAsia="zh-CN"/>
              </w:rPr>
              <w:t>he following conclusion is missing thus should be added</w:t>
            </w:r>
          </w:p>
          <w:tbl>
            <w:tblPr>
              <w:tblStyle w:val="TableGrid"/>
              <w:tblW w:w="0" w:type="auto"/>
              <w:tblLook w:val="04A0" w:firstRow="1" w:lastRow="0" w:firstColumn="1" w:lastColumn="0" w:noHBand="0" w:noVBand="1"/>
            </w:tblPr>
            <w:tblGrid>
              <w:gridCol w:w="7929"/>
            </w:tblGrid>
            <w:tr w:rsidR="001A42C4" w14:paraId="67C911D3" w14:textId="77777777" w:rsidTr="001A42C4">
              <w:tc>
                <w:tcPr>
                  <w:tcW w:w="7929" w:type="dxa"/>
                </w:tcPr>
                <w:p w14:paraId="326E59D7" w14:textId="77777777" w:rsidR="001A42C4" w:rsidRPr="001966E9" w:rsidRDefault="001A42C4" w:rsidP="001A42C4">
                  <w:pPr>
                    <w:pStyle w:val="ListParagraph"/>
                    <w:autoSpaceDE w:val="0"/>
                    <w:autoSpaceDN w:val="0"/>
                    <w:snapToGrid w:val="0"/>
                    <w:spacing w:after="120"/>
                    <w:ind w:left="0"/>
                    <w:jc w:val="both"/>
                    <w:rPr>
                      <w:szCs w:val="20"/>
                    </w:rPr>
                  </w:pPr>
                  <w:r w:rsidRPr="001966E9">
                    <w:rPr>
                      <w:rFonts w:hint="eastAsia"/>
                      <w:b/>
                      <w:bCs/>
                      <w:szCs w:val="20"/>
                      <w:u w:val="single"/>
                    </w:rPr>
                    <w:t>Conclusion</w:t>
                  </w:r>
                  <w:r w:rsidRPr="001966E9">
                    <w:rPr>
                      <w:rFonts w:hint="eastAsia"/>
                      <w:b/>
                      <w:bCs/>
                      <w:szCs w:val="20"/>
                    </w:rPr>
                    <w:t xml:space="preserve">: </w:t>
                  </w:r>
                  <w:r w:rsidRPr="001966E9">
                    <w:rPr>
                      <w:rFonts w:hint="eastAsia"/>
                      <w:szCs w:val="20"/>
                    </w:rPr>
                    <w:t>The option of carrying RedCap UE type(s) identification as part of UCI multiplexed in Msg3 PUSCH is not considered during the Rel-17 RedCap SI.</w:t>
                  </w:r>
                </w:p>
                <w:p w14:paraId="6E12F189" w14:textId="77777777" w:rsidR="001A42C4" w:rsidRDefault="001A42C4" w:rsidP="001A42C4">
                  <w:pPr>
                    <w:rPr>
                      <w:rFonts w:eastAsia="DengXian"/>
                      <w:lang w:val="en-US" w:eastAsia="zh-CN"/>
                    </w:rPr>
                  </w:pPr>
                </w:p>
              </w:tc>
            </w:tr>
          </w:tbl>
          <w:p w14:paraId="6A24B66C" w14:textId="46EF3701" w:rsidR="001A42C4" w:rsidRPr="001A42C4" w:rsidRDefault="001A42C4" w:rsidP="001A42C4">
            <w:pPr>
              <w:rPr>
                <w:rFonts w:eastAsia="DengXian"/>
                <w:lang w:val="en-US" w:eastAsia="zh-CN"/>
              </w:rPr>
            </w:pPr>
          </w:p>
          <w:p w14:paraId="1AD16434" w14:textId="1A2E09AF" w:rsidR="0058733D" w:rsidRPr="00EC4B31" w:rsidRDefault="005075C1" w:rsidP="00EC4B31">
            <w:pPr>
              <w:pStyle w:val="ListParagraph"/>
              <w:numPr>
                <w:ilvl w:val="0"/>
                <w:numId w:val="31"/>
              </w:numPr>
              <w:rPr>
                <w:rFonts w:eastAsia="DengXian"/>
                <w:lang w:val="en-US" w:eastAsia="zh-CN"/>
              </w:rPr>
            </w:pPr>
            <w:r>
              <w:rPr>
                <w:rFonts w:eastAsia="DengXian"/>
                <w:lang w:val="en-US" w:eastAsia="zh-CN"/>
              </w:rPr>
              <w:t xml:space="preserve">On </w:t>
            </w:r>
            <w:r w:rsidR="0058733D" w:rsidRPr="00EC4B31">
              <w:rPr>
                <w:rFonts w:eastAsia="DengXian" w:hint="eastAsia"/>
                <w:lang w:val="en-US" w:eastAsia="zh-CN"/>
              </w:rPr>
              <w:t>A</w:t>
            </w:r>
            <w:r w:rsidR="0058733D" w:rsidRPr="00EC4B31">
              <w:rPr>
                <w:rFonts w:eastAsia="DengXian"/>
                <w:lang w:val="en-US" w:eastAsia="zh-CN"/>
              </w:rPr>
              <w:t>nnex B, the following change should be made</w:t>
            </w:r>
          </w:p>
          <w:p w14:paraId="2B790E39" w14:textId="7FDE40C4" w:rsidR="0058733D" w:rsidRPr="0058733D" w:rsidRDefault="0058733D" w:rsidP="0058733D">
            <w:pPr>
              <w:numPr>
                <w:ilvl w:val="0"/>
                <w:numId w:val="29"/>
              </w:numPr>
              <w:overflowPunct w:val="0"/>
              <w:spacing w:after="120"/>
              <w:jc w:val="both"/>
              <w:rPr>
                <w:color w:val="FF0000"/>
                <w:u w:val="single"/>
                <w:lang w:eastAsia="ja-JP"/>
              </w:rPr>
            </w:pPr>
            <w:r w:rsidRPr="0058733D">
              <w:rPr>
                <w:color w:val="FF0000"/>
                <w:u w:val="single"/>
                <w:lang w:eastAsia="ja-JP"/>
              </w:rPr>
              <w:t xml:space="preserve">Case 1: Reference case with no reduction in BD limit. </w:t>
            </w:r>
          </w:p>
          <w:p w14:paraId="0283AE22" w14:textId="0859E46E" w:rsidR="0058733D" w:rsidRPr="002F4504" w:rsidRDefault="0058733D" w:rsidP="0058733D">
            <w:pPr>
              <w:pStyle w:val="BodyText"/>
              <w:numPr>
                <w:ilvl w:val="0"/>
                <w:numId w:val="29"/>
              </w:numPr>
              <w:rPr>
                <w:rFonts w:ascii="Times New Roman" w:hAnsi="Times New Roman"/>
                <w:b/>
                <w:bCs/>
              </w:rPr>
            </w:pPr>
            <w:r w:rsidRPr="002F4504">
              <w:rPr>
                <w:rFonts w:ascii="Times New Roman" w:hAnsi="Times New Roman"/>
                <w:bCs/>
              </w:rPr>
              <w:t xml:space="preserve">Case </w:t>
            </w:r>
            <w:r w:rsidRPr="0058733D">
              <w:rPr>
                <w:rFonts w:ascii="Times New Roman" w:hAnsi="Times New Roman"/>
                <w:bCs/>
                <w:color w:val="FF0000"/>
                <w:u w:val="single"/>
              </w:rPr>
              <w:t>2</w:t>
            </w:r>
            <w:r w:rsidRPr="002F4504">
              <w:rPr>
                <w:rFonts w:ascii="Times New Roman" w:hAnsi="Times New Roman"/>
                <w:bCs/>
              </w:rPr>
              <w:t>: Power saving gain at approximately 25% reduction in BDs</w:t>
            </w:r>
          </w:p>
          <w:p w14:paraId="32B3A17C" w14:textId="7D6C47DD" w:rsidR="0058733D" w:rsidRPr="005075C1" w:rsidRDefault="0058733D" w:rsidP="005075C1">
            <w:pPr>
              <w:pStyle w:val="BodyText"/>
              <w:numPr>
                <w:ilvl w:val="0"/>
                <w:numId w:val="29"/>
              </w:numPr>
              <w:rPr>
                <w:rFonts w:ascii="Times New Roman" w:hAnsi="Times New Roman"/>
                <w:b/>
                <w:bCs/>
              </w:rPr>
            </w:pPr>
            <w:r w:rsidRPr="002F4504">
              <w:rPr>
                <w:rFonts w:ascii="Times New Roman" w:hAnsi="Times New Roman"/>
                <w:bCs/>
              </w:rPr>
              <w:t xml:space="preserve">Case </w:t>
            </w:r>
            <w:r w:rsidRPr="0058733D">
              <w:rPr>
                <w:rFonts w:ascii="Times New Roman" w:hAnsi="Times New Roman"/>
                <w:bCs/>
                <w:color w:val="FF0000"/>
                <w:u w:val="single"/>
              </w:rPr>
              <w:t>3</w:t>
            </w:r>
            <w:r w:rsidRPr="002F4504">
              <w:rPr>
                <w:rFonts w:ascii="Times New Roman" w:hAnsi="Times New Roman"/>
                <w:bCs/>
              </w:rPr>
              <w:t>: Power saving gain at approximately 50% reduction in BDs</w:t>
            </w:r>
          </w:p>
        </w:tc>
      </w:tr>
      <w:tr w:rsidR="001F26A4" w:rsidRPr="008E3AB5" w14:paraId="084D74D5" w14:textId="77777777" w:rsidTr="00C371EC">
        <w:tc>
          <w:tcPr>
            <w:tcW w:w="1479" w:type="dxa"/>
          </w:tcPr>
          <w:p w14:paraId="3341989D" w14:textId="5809E54B" w:rsidR="001F26A4" w:rsidRDefault="001F26A4" w:rsidP="001F26A4">
            <w:pPr>
              <w:rPr>
                <w:lang w:val="en-US" w:eastAsia="ko-KR"/>
              </w:rPr>
            </w:pPr>
            <w:r>
              <w:rPr>
                <w:lang w:val="en-US" w:eastAsia="ko-KR"/>
              </w:rPr>
              <w:t>Ericsson</w:t>
            </w:r>
          </w:p>
        </w:tc>
        <w:tc>
          <w:tcPr>
            <w:tcW w:w="8155" w:type="dxa"/>
          </w:tcPr>
          <w:p w14:paraId="0EAE665C" w14:textId="77777777" w:rsidR="001F26A4" w:rsidRDefault="001F26A4" w:rsidP="001F26A4">
            <w:pPr>
              <w:pStyle w:val="ListParagraph"/>
              <w:numPr>
                <w:ilvl w:val="0"/>
                <w:numId w:val="34"/>
              </w:numPr>
              <w:rPr>
                <w:lang w:val="en-US"/>
              </w:rPr>
            </w:pPr>
            <w:r w:rsidRPr="00EB1DBE">
              <w:rPr>
                <w:lang w:val="en-US"/>
              </w:rPr>
              <w:t>Section 6.2, p12: “Companies to report if other traffic models are assumed in evaluation.”  can be removed.</w:t>
            </w:r>
          </w:p>
          <w:p w14:paraId="5399916A" w14:textId="77777777" w:rsidR="001F26A4" w:rsidRPr="00EB1DBE" w:rsidRDefault="001F26A4" w:rsidP="001F26A4">
            <w:pPr>
              <w:pStyle w:val="ListParagraph"/>
              <w:rPr>
                <w:lang w:val="en-US"/>
              </w:rPr>
            </w:pPr>
          </w:p>
          <w:p w14:paraId="456C7FFA" w14:textId="77777777" w:rsidR="001F26A4" w:rsidRDefault="001F26A4" w:rsidP="001F26A4">
            <w:pPr>
              <w:pStyle w:val="ListParagraph"/>
              <w:numPr>
                <w:ilvl w:val="0"/>
                <w:numId w:val="34"/>
              </w:numPr>
              <w:rPr>
                <w:lang w:val="en-US"/>
              </w:rPr>
            </w:pPr>
            <w:r w:rsidRPr="00EB1DBE">
              <w:rPr>
                <w:lang w:val="en-US"/>
              </w:rPr>
              <w:t>Table 6.2.2-1, p13: “of [3]” can be added at the end of Note 1.</w:t>
            </w:r>
          </w:p>
          <w:p w14:paraId="6E7665F2" w14:textId="77777777" w:rsidR="001F26A4" w:rsidRPr="00EB1DBE" w:rsidRDefault="001F26A4" w:rsidP="001F26A4">
            <w:pPr>
              <w:pStyle w:val="ListParagraph"/>
              <w:rPr>
                <w:lang w:val="en-US"/>
              </w:rPr>
            </w:pPr>
          </w:p>
          <w:p w14:paraId="4F31E3BB" w14:textId="77777777" w:rsidR="001F26A4" w:rsidRDefault="001F26A4" w:rsidP="001F26A4">
            <w:pPr>
              <w:pStyle w:val="ListParagraph"/>
              <w:numPr>
                <w:ilvl w:val="0"/>
                <w:numId w:val="34"/>
              </w:numPr>
              <w:rPr>
                <w:lang w:val="en-US"/>
              </w:rPr>
            </w:pPr>
            <w:r w:rsidRPr="00EB1DBE">
              <w:rPr>
                <w:lang w:val="en-US"/>
              </w:rPr>
              <w:t xml:space="preserve">Change numbers for tables 6.2.2-1/2/3 </w:t>
            </w:r>
            <w:r>
              <w:rPr>
                <w:lang w:val="en-US"/>
              </w:rPr>
              <w:t>to</w:t>
            </w:r>
            <w:r w:rsidRPr="00EB1DBE">
              <w:rPr>
                <w:lang w:val="en-US"/>
              </w:rPr>
              <w:t xml:space="preserve"> Table 6.2.1-4/5/6  (make corresponding changes in Section 8.2)</w:t>
            </w:r>
            <w:r>
              <w:rPr>
                <w:lang w:val="en-US"/>
              </w:rPr>
              <w:t>.</w:t>
            </w:r>
          </w:p>
          <w:p w14:paraId="47FA6FA6" w14:textId="77777777" w:rsidR="001F26A4" w:rsidRPr="00EB1DBE" w:rsidRDefault="001F26A4" w:rsidP="001F26A4">
            <w:pPr>
              <w:pStyle w:val="ListParagraph"/>
              <w:rPr>
                <w:lang w:val="en-US"/>
              </w:rPr>
            </w:pPr>
          </w:p>
          <w:p w14:paraId="6D9A10AA" w14:textId="77777777" w:rsidR="001F26A4" w:rsidRDefault="001F26A4" w:rsidP="001F26A4">
            <w:pPr>
              <w:pStyle w:val="ListParagraph"/>
              <w:numPr>
                <w:ilvl w:val="0"/>
                <w:numId w:val="34"/>
              </w:numPr>
              <w:rPr>
                <w:lang w:val="en-US"/>
              </w:rPr>
            </w:pPr>
            <w:r w:rsidRPr="00EB1DBE">
              <w:rPr>
                <w:lang w:val="en-US"/>
              </w:rPr>
              <w:t>TR can be consistent in using either “blocking probability” or “blocking rate” throughout the document.</w:t>
            </w:r>
          </w:p>
          <w:p w14:paraId="4A7E3009" w14:textId="77777777" w:rsidR="001F26A4" w:rsidRPr="00336470" w:rsidRDefault="001F26A4" w:rsidP="001F26A4">
            <w:pPr>
              <w:pStyle w:val="ListParagraph"/>
              <w:rPr>
                <w:lang w:val="en-US"/>
              </w:rPr>
            </w:pPr>
          </w:p>
          <w:p w14:paraId="6605A0DC" w14:textId="77777777" w:rsidR="001F26A4" w:rsidRPr="0027789D" w:rsidRDefault="001F26A4" w:rsidP="001F26A4">
            <w:pPr>
              <w:pStyle w:val="ListParagraph"/>
              <w:numPr>
                <w:ilvl w:val="0"/>
                <w:numId w:val="34"/>
              </w:numPr>
              <w:rPr>
                <w:lang w:val="en-US"/>
              </w:rPr>
            </w:pPr>
            <w:r w:rsidRPr="00EB1DBE">
              <w:rPr>
                <w:lang w:val="en-US"/>
              </w:rPr>
              <w:t>In 8.2.3, under the heading “PDCCH blocking probability for FR1”, there seems to be duplicate sentences. The style is also different from the subsequent paragraphs. Our suggested revision:</w:t>
            </w:r>
          </w:p>
          <w:p w14:paraId="00F8FEBA" w14:textId="77777777" w:rsidR="001F26A4" w:rsidRDefault="001F26A4" w:rsidP="001F26A4">
            <w:pPr>
              <w:ind w:left="360"/>
              <w:jc w:val="both"/>
            </w:pPr>
            <w:r>
              <w:t>Evaluation results of PDCCH blocking rate were reported for FR1 with AL distribution configuration ‘A1’ in Table 6.2.2-2 and the baseline evaluation parameters in Table 6.2.2-1. Based on Table B.1-1, the observations from these evaluation results are summarized as follows:</w:t>
            </w:r>
          </w:p>
          <w:p w14:paraId="6B50E123" w14:textId="77777777" w:rsidR="001F26A4" w:rsidRDefault="001F26A4" w:rsidP="001F26A4">
            <w:pPr>
              <w:numPr>
                <w:ilvl w:val="0"/>
                <w:numId w:val="33"/>
              </w:numPr>
              <w:spacing w:line="252" w:lineRule="auto"/>
              <w:ind w:left="1080"/>
              <w:contextualSpacing/>
              <w:jc w:val="both"/>
              <w:rPr>
                <w:lang w:val="en-US" w:eastAsia="ja-JP"/>
              </w:rPr>
            </w:pPr>
            <w:r>
              <w:rPr>
                <w:lang w:eastAsia="ja-JP"/>
              </w:rPr>
              <w:t>10 sources (Vivo, Ericsson, Qualcomm, Nokia, Huawei/HiSilicon, InterDigital, Intel, ZTE, Samsung, Futurewei) reported the following evaluation results</w:t>
            </w:r>
            <w:r w:rsidRPr="0027789D">
              <w:rPr>
                <w:strike/>
                <w:color w:val="FF0000"/>
                <w:lang w:eastAsia="ja-JP"/>
              </w:rPr>
              <w:t xml:space="preserve"> of PDCCH blocking rate for FR1 with baseline evaluation parameters in Table 6.2.2-1 and configuration ‘A1’ in Table 6.2.2-2. From Table B.1-1, the following was observed for PDCCH blocking rate performance impact for FR1 with AL distribution </w:t>
            </w:r>
            <w:r w:rsidRPr="0027789D">
              <w:rPr>
                <w:strike/>
                <w:color w:val="FF0000"/>
                <w:lang w:eastAsia="ja-JP"/>
              </w:rPr>
              <w:lastRenderedPageBreak/>
              <w:t>configuration A1</w:t>
            </w:r>
            <w:r>
              <w:rPr>
                <w:lang w:eastAsia="ja-JP"/>
              </w:rPr>
              <w:t xml:space="preserve">: </w:t>
            </w:r>
          </w:p>
          <w:p w14:paraId="18D9E511" w14:textId="77777777" w:rsidR="001F26A4" w:rsidRDefault="001F26A4" w:rsidP="001F26A4">
            <w:pPr>
              <w:rPr>
                <w:rFonts w:ascii="Calibri" w:hAnsi="Calibri" w:cs="Calibri"/>
                <w:sz w:val="22"/>
                <w:szCs w:val="22"/>
              </w:rPr>
            </w:pPr>
          </w:p>
          <w:p w14:paraId="7A358B06" w14:textId="77777777" w:rsidR="001F26A4" w:rsidRPr="00EB1DBE" w:rsidRDefault="001F26A4" w:rsidP="001F26A4">
            <w:pPr>
              <w:pStyle w:val="ListParagraph"/>
              <w:numPr>
                <w:ilvl w:val="0"/>
                <w:numId w:val="34"/>
              </w:numPr>
              <w:rPr>
                <w:lang w:val="en-US"/>
              </w:rPr>
            </w:pPr>
            <w:r w:rsidRPr="00EB1DBE">
              <w:rPr>
                <w:lang w:val="en-US"/>
              </w:rPr>
              <w:t>For 9.1, a better heading would be “Coverage recovery analysis” (instead of “Introduction to coverage recovery”). That would also match the heading of clause 9.1.5 (“Summary of coverage recovery analysis”).</w:t>
            </w:r>
          </w:p>
          <w:p w14:paraId="73235AD0" w14:textId="77777777" w:rsidR="001F26A4" w:rsidRPr="00EB1DBE" w:rsidRDefault="001F26A4" w:rsidP="001F26A4">
            <w:pPr>
              <w:pStyle w:val="ListParagraph"/>
              <w:rPr>
                <w:lang w:val="en-US"/>
              </w:rPr>
            </w:pPr>
          </w:p>
          <w:p w14:paraId="2E5FE4A9" w14:textId="77777777" w:rsidR="001F26A4" w:rsidRPr="00336470" w:rsidRDefault="001F26A4" w:rsidP="001F26A4">
            <w:pPr>
              <w:pStyle w:val="ListParagraph"/>
              <w:numPr>
                <w:ilvl w:val="0"/>
                <w:numId w:val="34"/>
              </w:numPr>
              <w:rPr>
                <w:lang w:val="en-US"/>
              </w:rPr>
            </w:pPr>
            <w:r w:rsidRPr="00EB1DBE">
              <w:rPr>
                <w:lang w:val="en-US"/>
              </w:rPr>
              <w:t>In 11.1.1, the square brackets around the notes can be removed.</w:t>
            </w:r>
          </w:p>
          <w:p w14:paraId="2FD3EE0E" w14:textId="77777777" w:rsidR="001F26A4" w:rsidRPr="00EB1DBE" w:rsidRDefault="001F26A4" w:rsidP="001F26A4">
            <w:pPr>
              <w:pStyle w:val="ListParagraph"/>
              <w:rPr>
                <w:lang w:val="en-US"/>
              </w:rPr>
            </w:pPr>
          </w:p>
          <w:p w14:paraId="70604D93" w14:textId="77777777" w:rsidR="001F26A4" w:rsidRPr="00336470" w:rsidRDefault="001F26A4" w:rsidP="001F26A4">
            <w:pPr>
              <w:pStyle w:val="ListParagraph"/>
              <w:numPr>
                <w:ilvl w:val="0"/>
                <w:numId w:val="34"/>
              </w:numPr>
              <w:rPr>
                <w:lang w:val="en-US"/>
              </w:rPr>
            </w:pPr>
            <w:r>
              <w:rPr>
                <w:lang w:val="en-US"/>
              </w:rPr>
              <w:t>Chapter</w:t>
            </w:r>
            <w:r w:rsidRPr="00EB1DBE">
              <w:rPr>
                <w:lang w:val="en-US"/>
              </w:rPr>
              <w:t xml:space="preserve"> 12: The sentence “In addition, scheduling flexibility and latency impacts have also been studied in clause 8.2.3.” seems to be there twice. Consider removing one of them.</w:t>
            </w:r>
          </w:p>
          <w:p w14:paraId="398CECF9" w14:textId="77777777" w:rsidR="001F26A4" w:rsidRPr="00EB1DBE" w:rsidRDefault="001F26A4" w:rsidP="001F26A4">
            <w:pPr>
              <w:pStyle w:val="ListParagraph"/>
              <w:rPr>
                <w:lang w:val="en-US"/>
              </w:rPr>
            </w:pPr>
          </w:p>
          <w:p w14:paraId="6E6BEDF0" w14:textId="77777777" w:rsidR="001F26A4" w:rsidRDefault="001F26A4" w:rsidP="001F26A4">
            <w:pPr>
              <w:pStyle w:val="ListParagraph"/>
              <w:numPr>
                <w:ilvl w:val="0"/>
                <w:numId w:val="34"/>
              </w:numPr>
              <w:rPr>
                <w:lang w:val="en-US"/>
              </w:rPr>
            </w:pPr>
            <w:r w:rsidRPr="00EB1DBE">
              <w:rPr>
                <w:lang w:val="en-US"/>
              </w:rPr>
              <w:t>In Table A.1.1 to A.1.4 and A.2.1 to A.2.4 Ericsson’s results can be captured together, instead of having two separate rows.</w:t>
            </w:r>
          </w:p>
          <w:p w14:paraId="3D93F617" w14:textId="77777777" w:rsidR="001F26A4" w:rsidRPr="00EB1DBE" w:rsidRDefault="001F26A4" w:rsidP="001F26A4">
            <w:pPr>
              <w:pStyle w:val="ListParagraph"/>
              <w:rPr>
                <w:lang w:val="en-US"/>
              </w:rPr>
            </w:pPr>
          </w:p>
          <w:p w14:paraId="7054AB64" w14:textId="77777777" w:rsidR="001F26A4" w:rsidRDefault="001F26A4" w:rsidP="001F26A4">
            <w:pPr>
              <w:pStyle w:val="ListParagraph"/>
              <w:numPr>
                <w:ilvl w:val="0"/>
                <w:numId w:val="34"/>
              </w:numPr>
              <w:rPr>
                <w:lang w:val="en-US"/>
              </w:rPr>
            </w:pPr>
            <w:r w:rsidRPr="00EB1DBE">
              <w:rPr>
                <w:lang w:val="en-US"/>
              </w:rPr>
              <w:t xml:space="preserve">In </w:t>
            </w:r>
            <w:r>
              <w:rPr>
                <w:lang w:val="en-US"/>
              </w:rPr>
              <w:t>Annex B (</w:t>
            </w:r>
            <w:r w:rsidRPr="00EB1DBE">
              <w:rPr>
                <w:lang w:val="en-US"/>
              </w:rPr>
              <w:t>p71</w:t>
            </w:r>
            <w:r>
              <w:rPr>
                <w:lang w:val="en-US"/>
              </w:rPr>
              <w:t>)</w:t>
            </w:r>
            <w:r w:rsidRPr="00EB1DBE">
              <w:rPr>
                <w:lang w:val="en-US"/>
              </w:rPr>
              <w:t>, replace Case 1/2/3 with the following:</w:t>
            </w:r>
          </w:p>
          <w:p w14:paraId="7B400FC3" w14:textId="77777777" w:rsidR="001F26A4" w:rsidRPr="00EB1DBE" w:rsidRDefault="001F26A4" w:rsidP="001F26A4">
            <w:pPr>
              <w:pStyle w:val="ListParagraph"/>
              <w:rPr>
                <w:lang w:val="en-US"/>
              </w:rPr>
            </w:pPr>
          </w:p>
          <w:p w14:paraId="63A9B688" w14:textId="77777777" w:rsidR="001F26A4" w:rsidRPr="00EB1DBE" w:rsidRDefault="001F26A4" w:rsidP="001F26A4">
            <w:pPr>
              <w:pStyle w:val="ListParagraph"/>
              <w:rPr>
                <w:lang w:val="en-US"/>
              </w:rPr>
            </w:pPr>
            <w:r w:rsidRPr="00EB1DBE">
              <w:rPr>
                <w:lang w:val="en-US"/>
              </w:rPr>
              <w:t>-</w:t>
            </w:r>
            <w:r w:rsidRPr="00EB1DBE">
              <w:rPr>
                <w:lang w:val="en-US"/>
              </w:rPr>
              <w:tab/>
              <w:t xml:space="preserve">Case 1: Reference case with no reduction in BD limit. </w:t>
            </w:r>
          </w:p>
          <w:p w14:paraId="00CC61A4" w14:textId="77777777" w:rsidR="001F26A4" w:rsidRPr="00EB1DBE" w:rsidRDefault="001F26A4" w:rsidP="001F26A4">
            <w:pPr>
              <w:pStyle w:val="ListParagraph"/>
              <w:rPr>
                <w:lang w:val="en-US"/>
              </w:rPr>
            </w:pPr>
            <w:r w:rsidRPr="00EB1DBE">
              <w:rPr>
                <w:lang w:val="en-US"/>
              </w:rPr>
              <w:t>-</w:t>
            </w:r>
            <w:r w:rsidRPr="00EB1DBE">
              <w:rPr>
                <w:lang w:val="en-US"/>
              </w:rPr>
              <w:tab/>
              <w:t xml:space="preserve">Case 2: Approximately 25% reduction in BD limit. </w:t>
            </w:r>
          </w:p>
          <w:p w14:paraId="6DA905B9" w14:textId="6F859316" w:rsidR="001F26A4" w:rsidRPr="001F26A4" w:rsidRDefault="001F26A4" w:rsidP="001F26A4">
            <w:pPr>
              <w:pStyle w:val="ListParagraph"/>
              <w:rPr>
                <w:lang w:val="en-US"/>
              </w:rPr>
            </w:pPr>
            <w:r w:rsidRPr="00EB1DBE">
              <w:rPr>
                <w:lang w:val="en-US"/>
              </w:rPr>
              <w:t>-</w:t>
            </w:r>
            <w:r w:rsidRPr="00EB1DBE">
              <w:rPr>
                <w:lang w:val="en-US"/>
              </w:rPr>
              <w:tab/>
              <w:t>Case 3: Approximately 50% reduction in BD limit</w:t>
            </w:r>
          </w:p>
        </w:tc>
      </w:tr>
      <w:tr w:rsidR="00E75EDE" w:rsidRPr="008E3AB5" w14:paraId="0F272958" w14:textId="77777777" w:rsidTr="00C371EC">
        <w:tc>
          <w:tcPr>
            <w:tcW w:w="1479" w:type="dxa"/>
          </w:tcPr>
          <w:p w14:paraId="79C2894F" w14:textId="1948304A" w:rsidR="00E75EDE" w:rsidRDefault="00E75EDE" w:rsidP="00E75EDE">
            <w:pPr>
              <w:rPr>
                <w:lang w:val="en-US" w:eastAsia="ko-KR"/>
              </w:rPr>
            </w:pPr>
            <w:r>
              <w:rPr>
                <w:lang w:val="en-US" w:eastAsia="ko-KR"/>
              </w:rPr>
              <w:lastRenderedPageBreak/>
              <w:t>NEC</w:t>
            </w:r>
          </w:p>
        </w:tc>
        <w:tc>
          <w:tcPr>
            <w:tcW w:w="8155" w:type="dxa"/>
          </w:tcPr>
          <w:p w14:paraId="364DE304" w14:textId="77777777" w:rsidR="00E75EDE" w:rsidRPr="00E75EDE" w:rsidRDefault="00E75EDE" w:rsidP="00E75EDE">
            <w:pPr>
              <w:rPr>
                <w:rFonts w:eastAsia="DengXian"/>
                <w:lang w:val="en-US" w:eastAsia="zh-CN"/>
              </w:rPr>
            </w:pPr>
            <w:r w:rsidRPr="00E75EDE">
              <w:rPr>
                <w:rFonts w:eastAsia="DengXian"/>
                <w:lang w:val="en-US" w:eastAsia="zh-CN"/>
              </w:rPr>
              <w:t>Introduction: “eMTC” should be used instead of “LTE-M” to be consistent with TR37.910 as cited below:</w:t>
            </w:r>
          </w:p>
          <w:p w14:paraId="650ADB28" w14:textId="77777777" w:rsidR="00E75EDE" w:rsidRPr="00A234EB" w:rsidRDefault="00E75EDE" w:rsidP="00E75EDE">
            <w:pPr>
              <w:pStyle w:val="Heading3"/>
              <w:ind w:left="1494"/>
              <w:rPr>
                <w:lang w:val="en-US" w:eastAsia="zh-CN"/>
              </w:rPr>
            </w:pPr>
            <w:bookmarkStart w:id="5" w:name="_Toc21288792"/>
            <w:r w:rsidRPr="00A234EB">
              <w:rPr>
                <w:lang w:val="en-US" w:eastAsia="zh-CN"/>
              </w:rPr>
              <w:t>7.1.2</w:t>
            </w:r>
            <w:r w:rsidRPr="00A234EB">
              <w:rPr>
                <w:lang w:val="en-US" w:eastAsia="zh-CN"/>
              </w:rPr>
              <w:tab/>
            </w:r>
            <w:r w:rsidRPr="00A234EB">
              <w:rPr>
                <w:rFonts w:hint="eastAsia"/>
                <w:lang w:val="en-US" w:eastAsia="zh-CN"/>
              </w:rPr>
              <w:t>LTE</w:t>
            </w:r>
            <w:bookmarkEnd w:id="5"/>
          </w:p>
          <w:p w14:paraId="6C866B0A" w14:textId="77777777" w:rsidR="00E75EDE" w:rsidRDefault="00E75EDE" w:rsidP="00E75EDE">
            <w:pPr>
              <w:ind w:left="360"/>
              <w:rPr>
                <w:rFonts w:eastAsia="DengXian"/>
                <w:lang w:val="en-US" w:eastAsia="zh-CN"/>
              </w:rPr>
            </w:pPr>
            <w:r w:rsidRPr="00A234EB">
              <w:rPr>
                <w:rFonts w:hint="eastAsia"/>
                <w:lang w:val="en-US" w:eastAsia="zh-CN"/>
              </w:rPr>
              <w:t>The connection density of NB-</w:t>
            </w:r>
            <w:r w:rsidRPr="00A234EB">
              <w:rPr>
                <w:lang w:val="en-US" w:eastAsia="zh-CN"/>
              </w:rPr>
              <w:t xml:space="preserve">IoT and </w:t>
            </w:r>
            <w:r w:rsidRPr="004A085F">
              <w:rPr>
                <w:highlight w:val="yellow"/>
                <w:lang w:val="en-US" w:eastAsia="zh-CN"/>
              </w:rPr>
              <w:t>eMTC</w:t>
            </w:r>
            <w:r w:rsidRPr="00A234EB">
              <w:rPr>
                <w:lang w:val="en-US" w:eastAsia="zh-CN"/>
              </w:rPr>
              <w:t xml:space="preserve"> are</w:t>
            </w:r>
            <w:r w:rsidRPr="00A234EB">
              <w:rPr>
                <w:rFonts w:hint="eastAsia"/>
                <w:lang w:val="en-US" w:eastAsia="zh-CN"/>
              </w:rPr>
              <w:t xml:space="preserve"> evaluated using</w:t>
            </w:r>
            <w:r w:rsidRPr="00A234EB">
              <w:rPr>
                <w:lang w:val="en-US" w:eastAsia="zh-CN"/>
              </w:rPr>
              <w:t xml:space="preserve"> both the </w:t>
            </w:r>
            <w:r w:rsidRPr="00A234EB">
              <w:rPr>
                <w:rFonts w:hint="eastAsia"/>
                <w:lang w:val="en-US" w:eastAsia="zh-CN"/>
              </w:rPr>
              <w:t>full buffer</w:t>
            </w:r>
            <w:r w:rsidRPr="00A234EB">
              <w:rPr>
                <w:lang w:val="en-US" w:eastAsia="zh-CN"/>
              </w:rPr>
              <w:t>, and the non-full buffer system level simulation</w:t>
            </w:r>
            <w:r w:rsidRPr="00A234EB">
              <w:rPr>
                <w:rFonts w:hint="eastAsia"/>
                <w:lang w:val="en-US" w:eastAsia="zh-CN"/>
              </w:rPr>
              <w:t xml:space="preserve"> as defined in Report ITU-R M.2412</w:t>
            </w:r>
            <w:r>
              <w:rPr>
                <w:lang w:val="en-US" w:eastAsia="zh-CN"/>
              </w:rPr>
              <w:t xml:space="preserve"> [6]</w:t>
            </w:r>
            <w:r w:rsidRPr="00A234EB">
              <w:rPr>
                <w:rFonts w:hint="eastAsia"/>
                <w:lang w:val="en-US" w:eastAsia="zh-CN"/>
              </w:rPr>
              <w:t>.</w:t>
            </w:r>
          </w:p>
          <w:p w14:paraId="371A832D" w14:textId="77777777" w:rsidR="00E75EDE" w:rsidRPr="00E75EDE" w:rsidRDefault="00E75EDE" w:rsidP="00E75EDE"/>
        </w:tc>
      </w:tr>
      <w:tr w:rsidR="00CA3D64" w:rsidRPr="008E3AB5" w14:paraId="33490B1A" w14:textId="77777777" w:rsidTr="00C371EC">
        <w:tc>
          <w:tcPr>
            <w:tcW w:w="1479" w:type="dxa"/>
          </w:tcPr>
          <w:p w14:paraId="61ECD457" w14:textId="0496B2D8" w:rsidR="00CA3D64" w:rsidRPr="00971B77" w:rsidRDefault="00CA3D64" w:rsidP="00CA3D64">
            <w:pPr>
              <w:rPr>
                <w:lang w:val="en-US" w:eastAsia="ko-KR"/>
              </w:rPr>
            </w:pPr>
            <w:r w:rsidRPr="00971B77">
              <w:rPr>
                <w:rFonts w:eastAsia="Yu Mincho" w:hint="eastAsia"/>
                <w:lang w:val="en-US" w:eastAsia="ja-JP"/>
              </w:rPr>
              <w:t>DOCOMO</w:t>
            </w:r>
          </w:p>
        </w:tc>
        <w:tc>
          <w:tcPr>
            <w:tcW w:w="8155" w:type="dxa"/>
          </w:tcPr>
          <w:p w14:paraId="2457C8C2" w14:textId="77777777" w:rsidR="00CA3D64" w:rsidRPr="00971B77" w:rsidRDefault="00CA3D64" w:rsidP="00CA3D64">
            <w:pPr>
              <w:rPr>
                <w:rFonts w:eastAsia="Yu Mincho"/>
                <w:lang w:val="en-US" w:eastAsia="ja-JP"/>
              </w:rPr>
            </w:pPr>
            <w:r w:rsidRPr="00971B77">
              <w:rPr>
                <w:rFonts w:eastAsia="Yu Mincho" w:hint="eastAsia"/>
                <w:lang w:val="en-US" w:eastAsia="ja-JP"/>
              </w:rPr>
              <w:t>Editorial modification</w:t>
            </w:r>
          </w:p>
          <w:p w14:paraId="56BD8E78" w14:textId="77777777" w:rsidR="00CA3D64" w:rsidRPr="00971B77" w:rsidRDefault="00CA3D64" w:rsidP="00CA3D64">
            <w:pPr>
              <w:pStyle w:val="ListParagraph"/>
              <w:numPr>
                <w:ilvl w:val="0"/>
                <w:numId w:val="36"/>
              </w:numPr>
              <w:rPr>
                <w:rFonts w:eastAsia="Yu Mincho"/>
                <w:sz w:val="20"/>
                <w:szCs w:val="20"/>
                <w:lang w:val="en-US"/>
              </w:rPr>
            </w:pPr>
            <w:r w:rsidRPr="00971B77">
              <w:rPr>
                <w:rFonts w:eastAsia="Yu Mincho" w:hint="eastAsia"/>
                <w:sz w:val="20"/>
                <w:szCs w:val="20"/>
                <w:lang w:val="en-US"/>
              </w:rPr>
              <w:t xml:space="preserve">The numbering of </w:t>
            </w:r>
            <w:r w:rsidRPr="00971B77">
              <w:rPr>
                <w:rFonts w:eastAsia="Yu Mincho"/>
                <w:sz w:val="20"/>
                <w:szCs w:val="20"/>
                <w:lang w:val="en-US"/>
              </w:rPr>
              <w:t>Table 6.2.1-1 to Table 6.2.2-3 is not aligned with Clause number 6.2 as it has no sub-clauses. Either making sub-clauses 6.2.1/6.2.2 or renumbering of Table 6.2.1-1 to Table 6.2.2-3 would be necessary</w:t>
            </w:r>
          </w:p>
          <w:p w14:paraId="410F832F" w14:textId="77777777" w:rsidR="00CA3D64" w:rsidRPr="00971B77" w:rsidRDefault="00CA3D64" w:rsidP="00CA3D64">
            <w:pPr>
              <w:pStyle w:val="ListParagraph"/>
              <w:numPr>
                <w:ilvl w:val="0"/>
                <w:numId w:val="36"/>
              </w:numPr>
              <w:rPr>
                <w:rFonts w:eastAsia="Yu Mincho"/>
                <w:sz w:val="20"/>
                <w:szCs w:val="20"/>
                <w:lang w:val="en-US"/>
              </w:rPr>
            </w:pPr>
            <w:r w:rsidRPr="00971B77">
              <w:rPr>
                <w:rFonts w:eastAsia="Yu Mincho"/>
                <w:sz w:val="20"/>
                <w:szCs w:val="20"/>
                <w:lang w:val="en-US"/>
              </w:rPr>
              <w:t>“CE SI” should be replaced as “coverage enhancement SI” for readability</w:t>
            </w:r>
          </w:p>
          <w:p w14:paraId="0B288A01" w14:textId="77777777" w:rsidR="00CA3D64" w:rsidRPr="00971B77" w:rsidRDefault="00CA3D64" w:rsidP="00CA3D64">
            <w:pPr>
              <w:pStyle w:val="ListParagraph"/>
              <w:numPr>
                <w:ilvl w:val="0"/>
                <w:numId w:val="36"/>
              </w:numPr>
              <w:rPr>
                <w:rFonts w:eastAsia="Yu Mincho"/>
                <w:sz w:val="20"/>
                <w:szCs w:val="20"/>
                <w:lang w:val="en-US"/>
              </w:rPr>
            </w:pPr>
            <w:r w:rsidRPr="00971B77">
              <w:rPr>
                <w:rFonts w:eastAsia="Yu Mincho"/>
                <w:sz w:val="20"/>
                <w:szCs w:val="20"/>
                <w:lang w:val="en-US"/>
              </w:rPr>
              <w:t>Table 1 in Clause 8.2.1 should be renumbered to Table 8.2.1-1</w:t>
            </w:r>
          </w:p>
          <w:p w14:paraId="2D42F95E" w14:textId="77777777" w:rsidR="00CA3D64" w:rsidRPr="00971B77" w:rsidRDefault="00CA3D64" w:rsidP="00CA3D64">
            <w:pPr>
              <w:pStyle w:val="ListParagraph"/>
              <w:numPr>
                <w:ilvl w:val="0"/>
                <w:numId w:val="36"/>
              </w:numPr>
              <w:rPr>
                <w:rFonts w:eastAsia="Yu Mincho"/>
                <w:sz w:val="20"/>
                <w:szCs w:val="20"/>
                <w:lang w:val="en-US"/>
              </w:rPr>
            </w:pPr>
            <w:r w:rsidRPr="00971B77">
              <w:rPr>
                <w:rFonts w:eastAsia="Yu Mincho" w:hint="eastAsia"/>
                <w:sz w:val="20"/>
                <w:szCs w:val="20"/>
                <w:lang w:val="en-US"/>
              </w:rPr>
              <w:t xml:space="preserve">In the second sub-bullet in Clause 8.2.5, </w:t>
            </w:r>
            <w:r w:rsidRPr="00971B77">
              <w:rPr>
                <w:rFonts w:eastAsia="Yu Mincho"/>
                <w:sz w:val="20"/>
                <w:szCs w:val="20"/>
                <w:lang w:val="en-US"/>
              </w:rPr>
              <w:t>“</w:t>
            </w:r>
            <w:r w:rsidRPr="00971B77">
              <w:rPr>
                <w:rFonts w:ascii="Times New Roman" w:eastAsiaTheme="minorEastAsia" w:hAnsi="Times New Roman"/>
                <w:sz w:val="20"/>
                <w:szCs w:val="20"/>
              </w:rPr>
              <w:t>For Extending the PDCCH monitoring gap to X slots (X</w:t>
            </w:r>
            <w:r w:rsidRPr="00971B77">
              <w:rPr>
                <w:rFonts w:ascii="Times New Roman" w:eastAsiaTheme="minorEastAsia" w:hAnsi="Times New Roman"/>
                <w:color w:val="FF0000"/>
                <w:sz w:val="20"/>
                <w:szCs w:val="20"/>
                <w:u w:val="single"/>
              </w:rPr>
              <w:t>&gt;1</w:t>
            </w:r>
            <w:r w:rsidRPr="00971B77">
              <w:rPr>
                <w:rFonts w:ascii="Times New Roman" w:eastAsiaTheme="minorEastAsia" w:hAnsi="Times New Roman"/>
                <w:sz w:val="20"/>
                <w:szCs w:val="20"/>
              </w:rPr>
              <w:t>)”</w:t>
            </w:r>
          </w:p>
          <w:p w14:paraId="5E4AC423" w14:textId="77777777" w:rsidR="00971B77" w:rsidRPr="00971B77" w:rsidRDefault="00CA3D64" w:rsidP="00971B77">
            <w:pPr>
              <w:pStyle w:val="ListParagraph"/>
              <w:numPr>
                <w:ilvl w:val="0"/>
                <w:numId w:val="36"/>
              </w:numPr>
              <w:rPr>
                <w:sz w:val="20"/>
                <w:szCs w:val="20"/>
              </w:rPr>
            </w:pPr>
            <w:r w:rsidRPr="00971B77">
              <w:rPr>
                <w:rFonts w:eastAsia="Yu Mincho"/>
                <w:sz w:val="20"/>
                <w:szCs w:val="20"/>
                <w:lang w:val="en-US"/>
              </w:rPr>
              <w:t>“</w:t>
            </w:r>
            <w:r w:rsidRPr="00971B77">
              <w:rPr>
                <w:sz w:val="20"/>
                <w:szCs w:val="20"/>
                <w:lang w:eastAsia="en-US"/>
              </w:rPr>
              <w:t>Table 11.1-1-1</w:t>
            </w:r>
            <w:r w:rsidRPr="00971B77">
              <w:rPr>
                <w:rFonts w:eastAsia="Yu Mincho"/>
                <w:sz w:val="20"/>
                <w:szCs w:val="20"/>
                <w:lang w:val="en-US"/>
              </w:rPr>
              <w:t>”, “</w:t>
            </w:r>
            <w:r w:rsidRPr="00971B77">
              <w:rPr>
                <w:sz w:val="20"/>
                <w:szCs w:val="20"/>
                <w:lang w:eastAsia="en-US"/>
              </w:rPr>
              <w:t>Table 11.1-1-2</w:t>
            </w:r>
            <w:r w:rsidRPr="00971B77">
              <w:rPr>
                <w:rFonts w:eastAsia="Yu Mincho"/>
                <w:sz w:val="20"/>
                <w:szCs w:val="20"/>
                <w:lang w:val="en-US"/>
              </w:rPr>
              <w:t>”, and “</w:t>
            </w:r>
            <w:r w:rsidRPr="00971B77">
              <w:rPr>
                <w:sz w:val="20"/>
                <w:szCs w:val="20"/>
                <w:lang w:eastAsia="en-US"/>
              </w:rPr>
              <w:t>Table 11.1-1-3</w:t>
            </w:r>
            <w:r w:rsidRPr="00971B77">
              <w:rPr>
                <w:rFonts w:eastAsia="Yu Mincho"/>
                <w:sz w:val="20"/>
                <w:szCs w:val="20"/>
                <w:lang w:val="en-US"/>
              </w:rPr>
              <w:t>” should be modified to “</w:t>
            </w:r>
            <w:r w:rsidRPr="00971B77">
              <w:rPr>
                <w:sz w:val="20"/>
                <w:szCs w:val="20"/>
                <w:lang w:eastAsia="en-US"/>
              </w:rPr>
              <w:t>Table 11.1</w:t>
            </w:r>
            <w:r w:rsidRPr="00971B77">
              <w:rPr>
                <w:color w:val="FF0000"/>
                <w:sz w:val="20"/>
                <w:szCs w:val="20"/>
                <w:u w:val="single"/>
                <w:lang w:eastAsia="en-US"/>
              </w:rPr>
              <w:t>.</w:t>
            </w:r>
            <w:r w:rsidRPr="00971B77">
              <w:rPr>
                <w:sz w:val="20"/>
                <w:szCs w:val="20"/>
                <w:lang w:eastAsia="en-US"/>
              </w:rPr>
              <w:t>1-1</w:t>
            </w:r>
            <w:r w:rsidRPr="00971B77">
              <w:rPr>
                <w:rFonts w:eastAsia="Yu Mincho"/>
                <w:sz w:val="20"/>
                <w:szCs w:val="20"/>
                <w:lang w:val="en-US"/>
              </w:rPr>
              <w:t>”, “</w:t>
            </w:r>
            <w:r w:rsidRPr="00971B77">
              <w:rPr>
                <w:sz w:val="20"/>
                <w:szCs w:val="20"/>
                <w:lang w:eastAsia="en-US"/>
              </w:rPr>
              <w:t>Table 11.1</w:t>
            </w:r>
            <w:r w:rsidRPr="00971B77">
              <w:rPr>
                <w:color w:val="FF0000"/>
                <w:sz w:val="20"/>
                <w:szCs w:val="20"/>
                <w:u w:val="single"/>
                <w:lang w:eastAsia="en-US"/>
              </w:rPr>
              <w:t>.</w:t>
            </w:r>
            <w:r w:rsidRPr="00971B77">
              <w:rPr>
                <w:sz w:val="20"/>
                <w:szCs w:val="20"/>
                <w:lang w:eastAsia="en-US"/>
              </w:rPr>
              <w:t>1-2</w:t>
            </w:r>
            <w:r w:rsidRPr="00971B77">
              <w:rPr>
                <w:rFonts w:eastAsia="Yu Mincho"/>
                <w:sz w:val="20"/>
                <w:szCs w:val="20"/>
                <w:lang w:val="en-US"/>
              </w:rPr>
              <w:t>”, and “</w:t>
            </w:r>
            <w:r w:rsidRPr="00971B77">
              <w:rPr>
                <w:sz w:val="20"/>
                <w:szCs w:val="20"/>
                <w:lang w:eastAsia="en-US"/>
              </w:rPr>
              <w:t>Table 11.1</w:t>
            </w:r>
            <w:r w:rsidRPr="00971B77">
              <w:rPr>
                <w:color w:val="FF0000"/>
                <w:sz w:val="20"/>
                <w:szCs w:val="20"/>
                <w:u w:val="single"/>
                <w:lang w:eastAsia="en-US"/>
              </w:rPr>
              <w:t>.</w:t>
            </w:r>
            <w:r w:rsidRPr="00971B77">
              <w:rPr>
                <w:sz w:val="20"/>
                <w:szCs w:val="20"/>
                <w:lang w:eastAsia="en-US"/>
              </w:rPr>
              <w:t>1-3”</w:t>
            </w:r>
          </w:p>
          <w:p w14:paraId="559AEB7D" w14:textId="2CDE114F" w:rsidR="00CA3D64" w:rsidRPr="00971B77" w:rsidRDefault="00CA3D64" w:rsidP="00971B77">
            <w:pPr>
              <w:pStyle w:val="ListParagraph"/>
              <w:numPr>
                <w:ilvl w:val="0"/>
                <w:numId w:val="36"/>
              </w:numPr>
              <w:rPr>
                <w:sz w:val="20"/>
                <w:szCs w:val="20"/>
              </w:rPr>
            </w:pPr>
            <w:r w:rsidRPr="00971B77">
              <w:rPr>
                <w:sz w:val="20"/>
                <w:szCs w:val="20"/>
              </w:rPr>
              <w:t xml:space="preserve">In Note 7 in Table B.1-1 to Table B.1-3 and Table B.2-1 to Table B.2-3, </w:t>
            </w:r>
            <w:r w:rsidRPr="00971B77">
              <w:rPr>
                <w:rFonts w:eastAsia="Yu Mincho"/>
                <w:sz w:val="20"/>
                <w:szCs w:val="20"/>
                <w:lang w:val="en-US"/>
              </w:rPr>
              <w:t>“</w:t>
            </w:r>
            <w:r w:rsidRPr="00971B77">
              <w:rPr>
                <w:sz w:val="20"/>
                <w:szCs w:val="20"/>
              </w:rPr>
              <w:t>With enhancement of PDCCH dro</w:t>
            </w:r>
            <w:r w:rsidRPr="00971B77">
              <w:rPr>
                <w:strike/>
                <w:color w:val="FF0000"/>
                <w:sz w:val="20"/>
                <w:szCs w:val="20"/>
              </w:rPr>
              <w:t>o</w:t>
            </w:r>
            <w:r w:rsidRPr="00971B77">
              <w:rPr>
                <w:sz w:val="20"/>
                <w:szCs w:val="20"/>
              </w:rPr>
              <w:t>ping...”</w:t>
            </w:r>
          </w:p>
        </w:tc>
      </w:tr>
      <w:tr w:rsidR="008A1DAF" w:rsidRPr="008E3AB5" w14:paraId="404BA56D" w14:textId="77777777" w:rsidTr="00C371EC">
        <w:tc>
          <w:tcPr>
            <w:tcW w:w="1479" w:type="dxa"/>
          </w:tcPr>
          <w:p w14:paraId="3DCC43A0" w14:textId="20AA3FD7" w:rsidR="008A1DAF" w:rsidRPr="00971B77" w:rsidRDefault="008A1DAF" w:rsidP="00CA3D64">
            <w:pPr>
              <w:rPr>
                <w:rFonts w:eastAsia="Yu Mincho"/>
                <w:lang w:val="en-US" w:eastAsia="ja-JP"/>
              </w:rPr>
            </w:pPr>
            <w:r>
              <w:rPr>
                <w:rFonts w:eastAsia="DengXian" w:hint="eastAsia"/>
                <w:lang w:val="en-US" w:eastAsia="zh-CN"/>
              </w:rPr>
              <w:t>CATT</w:t>
            </w:r>
          </w:p>
        </w:tc>
        <w:tc>
          <w:tcPr>
            <w:tcW w:w="8155" w:type="dxa"/>
          </w:tcPr>
          <w:p w14:paraId="3E5FD0FB" w14:textId="77777777" w:rsidR="008A1DAF" w:rsidRPr="008A1DAF" w:rsidRDefault="008A1DAF" w:rsidP="00D54ECD">
            <w:pPr>
              <w:rPr>
                <w:rFonts w:eastAsia="DengXian"/>
                <w:sz w:val="22"/>
                <w:szCs w:val="22"/>
                <w:lang w:val="en-US" w:eastAsia="zh-CN"/>
              </w:rPr>
            </w:pPr>
            <w:r w:rsidRPr="008A1DAF">
              <w:rPr>
                <w:rFonts w:eastAsia="DengXian" w:hint="eastAsia"/>
                <w:sz w:val="22"/>
                <w:szCs w:val="22"/>
                <w:lang w:val="en-US" w:eastAsia="zh-CN"/>
              </w:rPr>
              <w:t>Thanks for preparing the nice TR. Our comments are listed below:</w:t>
            </w:r>
          </w:p>
          <w:p w14:paraId="7CE0F7A9" w14:textId="77777777" w:rsidR="008A1DAF" w:rsidRPr="008A1DAF" w:rsidRDefault="008A1DAF" w:rsidP="008A1DAF">
            <w:pPr>
              <w:pStyle w:val="ListParagraph"/>
              <w:numPr>
                <w:ilvl w:val="0"/>
                <w:numId w:val="37"/>
              </w:numPr>
              <w:rPr>
                <w:rFonts w:eastAsia="DengXian"/>
                <w:color w:val="000000"/>
                <w:szCs w:val="22"/>
                <w:lang w:val="de-DE" w:eastAsia="zh-CN"/>
              </w:rPr>
            </w:pPr>
            <w:r w:rsidRPr="008A1DAF">
              <w:rPr>
                <w:rFonts w:eastAsia="DengXian" w:hint="eastAsia"/>
                <w:szCs w:val="22"/>
                <w:lang w:val="en-US" w:eastAsia="zh-CN"/>
              </w:rPr>
              <w:t xml:space="preserve">P13, Table 6.2.2-1, for SCS/BW in FR2, seems square </w:t>
            </w:r>
            <w:r w:rsidRPr="008A1DAF">
              <w:rPr>
                <w:rFonts w:eastAsia="DengXian"/>
                <w:szCs w:val="22"/>
                <w:lang w:val="en-US" w:eastAsia="zh-CN"/>
              </w:rPr>
              <w:t>bracket</w:t>
            </w:r>
            <w:r w:rsidRPr="008A1DAF">
              <w:rPr>
                <w:rFonts w:eastAsia="DengXian" w:hint="eastAsia"/>
                <w:szCs w:val="22"/>
                <w:lang w:val="en-US" w:eastAsia="zh-CN"/>
              </w:rPr>
              <w:t xml:space="preserve"> of </w:t>
            </w:r>
            <w:r w:rsidRPr="008A1DAF">
              <w:rPr>
                <w:color w:val="000000"/>
                <w:szCs w:val="22"/>
                <w:lang w:val="de-DE"/>
              </w:rPr>
              <w:t>120KHz/[100]MHz</w:t>
            </w:r>
            <w:r w:rsidRPr="008A1DAF">
              <w:rPr>
                <w:rFonts w:eastAsia="DengXian" w:hint="eastAsia"/>
                <w:color w:val="000000"/>
                <w:szCs w:val="22"/>
                <w:lang w:val="de-DE" w:eastAsia="zh-CN"/>
              </w:rPr>
              <w:t xml:space="preserve"> can be deleted, or updated if other BW was acturally used.</w:t>
            </w:r>
          </w:p>
          <w:p w14:paraId="5D89FD5D" w14:textId="77777777" w:rsidR="008A1DAF" w:rsidRPr="008A1DAF" w:rsidRDefault="008A1DAF" w:rsidP="008A1DAF">
            <w:pPr>
              <w:pStyle w:val="ListParagraph"/>
              <w:numPr>
                <w:ilvl w:val="0"/>
                <w:numId w:val="37"/>
              </w:numPr>
              <w:rPr>
                <w:rFonts w:eastAsia="DengXian"/>
                <w:szCs w:val="22"/>
                <w:lang w:val="en-US" w:eastAsia="zh-CN"/>
              </w:rPr>
            </w:pPr>
            <w:r w:rsidRPr="008A1DAF">
              <w:rPr>
                <w:rFonts w:eastAsia="DengXian" w:hint="eastAsia"/>
                <w:szCs w:val="22"/>
                <w:lang w:val="en-US" w:eastAsia="zh-CN"/>
              </w:rPr>
              <w:t xml:space="preserve">P14, the second bullet of Step 1, </w:t>
            </w:r>
            <w:r w:rsidRPr="008A1DAF">
              <w:rPr>
                <w:rFonts w:eastAsia="DengXian"/>
                <w:szCs w:val="22"/>
                <w:lang w:val="en-US" w:eastAsia="zh-CN"/>
              </w:rPr>
              <w:t>‘for company ‘j’. M represents…’</w:t>
            </w:r>
            <w:r w:rsidRPr="008A1DAF">
              <w:rPr>
                <w:rFonts w:eastAsia="DengXian" w:hint="eastAsia"/>
                <w:szCs w:val="22"/>
                <w:lang w:val="en-US" w:eastAsia="zh-CN"/>
              </w:rPr>
              <w:t xml:space="preserve"> should be left aligned.</w:t>
            </w:r>
          </w:p>
          <w:p w14:paraId="11C9B314" w14:textId="77777777" w:rsidR="008A1DAF" w:rsidRPr="008A1DAF" w:rsidRDefault="008A1DAF" w:rsidP="008A1DAF">
            <w:pPr>
              <w:pStyle w:val="ListParagraph"/>
              <w:numPr>
                <w:ilvl w:val="0"/>
                <w:numId w:val="37"/>
              </w:numPr>
              <w:rPr>
                <w:rFonts w:eastAsia="DengXian"/>
                <w:szCs w:val="22"/>
                <w:lang w:val="en-US" w:eastAsia="zh-CN"/>
              </w:rPr>
            </w:pPr>
            <w:r w:rsidRPr="008A1DAF">
              <w:rPr>
                <w:rFonts w:eastAsia="DengXian" w:hint="eastAsia"/>
                <w:szCs w:val="22"/>
                <w:lang w:val="en-US" w:eastAsia="zh-CN"/>
              </w:rPr>
              <w:t xml:space="preserve">P22, to align with the bandwidth </w:t>
            </w:r>
            <w:r w:rsidRPr="008A1DAF">
              <w:rPr>
                <w:rFonts w:eastAsia="DengXian"/>
                <w:szCs w:val="22"/>
                <w:lang w:val="en-US" w:eastAsia="zh-CN"/>
              </w:rPr>
              <w:t>description</w:t>
            </w:r>
            <w:r w:rsidRPr="008A1DAF">
              <w:rPr>
                <w:rFonts w:eastAsia="DengXian" w:hint="eastAsia"/>
                <w:szCs w:val="22"/>
                <w:lang w:val="en-US" w:eastAsia="zh-CN"/>
              </w:rPr>
              <w:t xml:space="preserve"> of RedCap UE, the </w:t>
            </w:r>
            <w:r w:rsidRPr="008A1DAF">
              <w:rPr>
                <w:rFonts w:eastAsia="DengXian"/>
                <w:szCs w:val="22"/>
                <w:lang w:val="en-US" w:eastAsia="zh-CN"/>
              </w:rPr>
              <w:t xml:space="preserve">maximum bandwidth capability </w:t>
            </w:r>
            <w:r w:rsidRPr="008A1DAF">
              <w:rPr>
                <w:rFonts w:eastAsia="DengXian" w:hint="eastAsia"/>
                <w:szCs w:val="22"/>
                <w:lang w:val="en-US" w:eastAsia="zh-CN"/>
              </w:rPr>
              <w:t>of t</w:t>
            </w:r>
            <w:r w:rsidRPr="008A1DAF">
              <w:rPr>
                <w:rFonts w:eastAsia="DengXian"/>
                <w:szCs w:val="22"/>
                <w:lang w:val="en-US" w:eastAsia="zh-CN"/>
              </w:rPr>
              <w:t>he reference UE</w:t>
            </w:r>
            <w:r w:rsidRPr="008A1DAF">
              <w:rPr>
                <w:rFonts w:eastAsia="DengXian" w:hint="eastAsia"/>
                <w:szCs w:val="22"/>
                <w:lang w:val="en-US" w:eastAsia="zh-CN"/>
              </w:rPr>
              <w:t xml:space="preserve"> seems not need to include </w:t>
            </w:r>
            <w:r w:rsidRPr="008A1DAF">
              <w:rPr>
                <w:rFonts w:eastAsia="DengXian"/>
                <w:szCs w:val="22"/>
                <w:lang w:val="en-US" w:eastAsia="zh-CN"/>
              </w:rPr>
              <w:t>‘</w:t>
            </w:r>
            <w:r w:rsidRPr="008A1DAF">
              <w:rPr>
                <w:rFonts w:eastAsia="DengXian" w:hint="eastAsia"/>
                <w:szCs w:val="22"/>
                <w:lang w:val="en-US" w:eastAsia="zh-CN"/>
              </w:rPr>
              <w:t>for DL and UL</w:t>
            </w:r>
            <w:r w:rsidRPr="008A1DAF">
              <w:rPr>
                <w:rFonts w:eastAsia="DengXian"/>
                <w:szCs w:val="22"/>
                <w:lang w:val="en-US" w:eastAsia="zh-CN"/>
              </w:rPr>
              <w:t>’</w:t>
            </w:r>
            <w:r w:rsidRPr="008A1DAF">
              <w:rPr>
                <w:rFonts w:eastAsia="DengXian" w:hint="eastAsia"/>
                <w:szCs w:val="22"/>
                <w:lang w:val="en-US" w:eastAsia="zh-CN"/>
              </w:rPr>
              <w:t xml:space="preserve">. </w:t>
            </w:r>
          </w:p>
          <w:p w14:paraId="01E7B506" w14:textId="77777777" w:rsidR="008A1DAF" w:rsidRPr="008A1DAF" w:rsidRDefault="008A1DAF" w:rsidP="00D54ECD">
            <w:pPr>
              <w:rPr>
                <w:rFonts w:eastAsia="DengXian"/>
                <w:sz w:val="22"/>
                <w:szCs w:val="22"/>
                <w:lang w:val="en-US" w:eastAsia="zh-CN"/>
              </w:rPr>
            </w:pPr>
            <w:r w:rsidRPr="008A1DAF">
              <w:rPr>
                <w:rFonts w:eastAsia="DengXian"/>
                <w:sz w:val="22"/>
                <w:szCs w:val="22"/>
                <w:lang w:val="en-US" w:eastAsia="zh-CN"/>
              </w:rPr>
              <w:t>•</w:t>
            </w:r>
            <w:r w:rsidRPr="008A1DAF">
              <w:rPr>
                <w:rFonts w:eastAsia="DengXian"/>
                <w:sz w:val="22"/>
                <w:szCs w:val="22"/>
                <w:lang w:val="en-US" w:eastAsia="zh-CN"/>
              </w:rPr>
              <w:tab/>
              <w:t xml:space="preserve">For FR1: 100 MHz </w:t>
            </w:r>
            <w:r w:rsidRPr="008A1DAF">
              <w:rPr>
                <w:rFonts w:eastAsia="DengXian"/>
                <w:strike/>
                <w:color w:val="FF0000"/>
                <w:sz w:val="22"/>
                <w:szCs w:val="22"/>
                <w:lang w:val="en-US" w:eastAsia="zh-CN"/>
              </w:rPr>
              <w:t>for DL and UL</w:t>
            </w:r>
          </w:p>
          <w:p w14:paraId="311867D8" w14:textId="77777777" w:rsidR="008A1DAF" w:rsidRPr="008A1DAF" w:rsidRDefault="008A1DAF" w:rsidP="00D54ECD">
            <w:pPr>
              <w:rPr>
                <w:rFonts w:eastAsia="DengXian"/>
                <w:sz w:val="22"/>
                <w:szCs w:val="22"/>
                <w:lang w:val="en-US" w:eastAsia="zh-CN"/>
              </w:rPr>
            </w:pPr>
            <w:r w:rsidRPr="008A1DAF">
              <w:rPr>
                <w:rFonts w:eastAsia="DengXian"/>
                <w:sz w:val="22"/>
                <w:szCs w:val="22"/>
                <w:lang w:val="en-US" w:eastAsia="zh-CN"/>
              </w:rPr>
              <w:lastRenderedPageBreak/>
              <w:t>•</w:t>
            </w:r>
            <w:r w:rsidRPr="008A1DAF">
              <w:rPr>
                <w:rFonts w:eastAsia="DengXian"/>
                <w:sz w:val="22"/>
                <w:szCs w:val="22"/>
                <w:lang w:val="en-US" w:eastAsia="zh-CN"/>
              </w:rPr>
              <w:tab/>
              <w:t xml:space="preserve">For FR2: 200 MHz </w:t>
            </w:r>
            <w:r w:rsidRPr="008A1DAF">
              <w:rPr>
                <w:rFonts w:eastAsia="DengXian"/>
                <w:strike/>
                <w:color w:val="FF0000"/>
                <w:sz w:val="22"/>
                <w:szCs w:val="22"/>
                <w:lang w:val="en-US" w:eastAsia="zh-CN"/>
              </w:rPr>
              <w:t>for DL and UL</w:t>
            </w:r>
            <w:r w:rsidRPr="008A1DAF">
              <w:rPr>
                <w:rFonts w:eastAsia="DengXian" w:hint="eastAsia"/>
                <w:sz w:val="22"/>
                <w:szCs w:val="22"/>
                <w:lang w:val="en-US" w:eastAsia="zh-CN"/>
              </w:rPr>
              <w:t xml:space="preserve"> </w:t>
            </w:r>
          </w:p>
          <w:p w14:paraId="105499F3" w14:textId="77777777" w:rsidR="008A1DAF" w:rsidRPr="008A1DAF" w:rsidRDefault="008A1DAF" w:rsidP="00D54ECD">
            <w:pPr>
              <w:ind w:leftChars="200" w:left="400"/>
              <w:rPr>
                <w:rFonts w:eastAsia="DengXian"/>
                <w:sz w:val="22"/>
                <w:szCs w:val="22"/>
                <w:lang w:val="en-US" w:eastAsia="zh-CN"/>
              </w:rPr>
            </w:pPr>
            <w:r w:rsidRPr="008A1DAF">
              <w:rPr>
                <w:rFonts w:eastAsia="DengXian" w:hint="eastAsia"/>
                <w:sz w:val="22"/>
                <w:szCs w:val="22"/>
                <w:lang w:val="en-US" w:eastAsia="zh-CN"/>
              </w:rPr>
              <w:t xml:space="preserve">Such description is already captured in the </w:t>
            </w:r>
            <w:r w:rsidRPr="008A1DAF">
              <w:rPr>
                <w:rFonts w:eastAsia="DengXian"/>
                <w:sz w:val="22"/>
                <w:szCs w:val="22"/>
                <w:lang w:val="en-US" w:eastAsia="zh-CN"/>
              </w:rPr>
              <w:t>subsequent</w:t>
            </w:r>
            <w:r w:rsidRPr="008A1DAF">
              <w:rPr>
                <w:rFonts w:eastAsia="DengXian" w:hint="eastAsia"/>
                <w:sz w:val="22"/>
                <w:szCs w:val="22"/>
                <w:lang w:val="en-US" w:eastAsia="zh-CN"/>
              </w:rPr>
              <w:t xml:space="preserve"> paragraph (</w:t>
            </w:r>
            <w:r w:rsidRPr="008A1DAF">
              <w:rPr>
                <w:rFonts w:eastAsia="DengXian"/>
                <w:sz w:val="22"/>
                <w:szCs w:val="22"/>
                <w:lang w:val="en-US" w:eastAsia="zh-CN"/>
              </w:rPr>
              <w:t>‘</w:t>
            </w:r>
            <w:r w:rsidRPr="008A1DAF">
              <w:rPr>
                <w:bCs/>
                <w:sz w:val="22"/>
                <w:szCs w:val="22"/>
              </w:rPr>
              <w:t>this maximum UE bandwidth is assumed for both DL and UL</w:t>
            </w:r>
            <w:r w:rsidRPr="008A1DAF">
              <w:rPr>
                <w:rFonts w:eastAsia="DengXian"/>
                <w:bCs/>
                <w:sz w:val="22"/>
                <w:szCs w:val="22"/>
                <w:lang w:eastAsia="zh-CN"/>
              </w:rPr>
              <w:t>’</w:t>
            </w:r>
            <w:r w:rsidRPr="008A1DAF">
              <w:rPr>
                <w:rFonts w:eastAsia="DengXian" w:hint="eastAsia"/>
                <w:sz w:val="22"/>
                <w:szCs w:val="22"/>
                <w:lang w:val="en-US" w:eastAsia="zh-CN"/>
              </w:rPr>
              <w:t>)</w:t>
            </w:r>
            <w:r w:rsidRPr="008A1DAF">
              <w:rPr>
                <w:rFonts w:eastAsia="DengXian"/>
                <w:sz w:val="22"/>
                <w:szCs w:val="22"/>
                <w:lang w:val="en-US" w:eastAsia="zh-CN"/>
              </w:rPr>
              <w:t>.</w:t>
            </w:r>
          </w:p>
          <w:p w14:paraId="18A2A68B" w14:textId="77777777" w:rsidR="008A1DAF" w:rsidRPr="008A1DAF" w:rsidRDefault="008A1DAF" w:rsidP="008A1DAF">
            <w:pPr>
              <w:pStyle w:val="ListParagraph"/>
              <w:numPr>
                <w:ilvl w:val="0"/>
                <w:numId w:val="37"/>
              </w:numPr>
              <w:rPr>
                <w:rFonts w:eastAsia="DengXian"/>
                <w:szCs w:val="22"/>
                <w:lang w:val="en-US" w:eastAsia="zh-CN"/>
              </w:rPr>
            </w:pPr>
            <w:r w:rsidRPr="008A1DAF">
              <w:rPr>
                <w:rFonts w:eastAsia="DengXian" w:hint="eastAsia"/>
                <w:szCs w:val="22"/>
                <w:lang w:val="en-US" w:eastAsia="zh-CN"/>
              </w:rPr>
              <w:t xml:space="preserve">P24, Section 7.3.4, the 3 bullets with </w:t>
            </w:r>
            <w:r w:rsidRPr="008A1DAF">
              <w:rPr>
                <w:rFonts w:eastAsia="DengXian"/>
                <w:szCs w:val="22"/>
                <w:lang w:val="en-US" w:eastAsia="zh-CN"/>
              </w:rPr>
              <w:t>‘</w:t>
            </w:r>
            <w:r w:rsidRPr="008A1DAF">
              <w:rPr>
                <w:rFonts w:ascii="Times New Roman" w:hAnsi="Times New Roman"/>
                <w:bCs/>
                <w:szCs w:val="22"/>
              </w:rPr>
              <w:t>20-MHz</w:t>
            </w:r>
            <w:r w:rsidRPr="008A1DAF">
              <w:rPr>
                <w:rFonts w:eastAsia="DengXian"/>
                <w:szCs w:val="22"/>
                <w:lang w:val="en-US" w:eastAsia="zh-CN"/>
              </w:rPr>
              <w:t>’</w:t>
            </w:r>
            <w:r w:rsidRPr="008A1DAF">
              <w:rPr>
                <w:rFonts w:eastAsia="DengXian" w:hint="eastAsia"/>
                <w:szCs w:val="22"/>
                <w:lang w:val="en-US" w:eastAsia="zh-CN"/>
              </w:rPr>
              <w:t xml:space="preserve">, </w:t>
            </w:r>
            <w:r w:rsidRPr="008A1DAF">
              <w:rPr>
                <w:rFonts w:eastAsia="DengXian"/>
                <w:szCs w:val="22"/>
                <w:lang w:val="en-US" w:eastAsia="zh-CN"/>
              </w:rPr>
              <w:t>‘</w:t>
            </w:r>
            <w:r w:rsidRPr="008A1DAF">
              <w:rPr>
                <w:rFonts w:eastAsia="DengXian" w:hint="eastAsia"/>
                <w:bCs/>
                <w:szCs w:val="22"/>
                <w:lang w:eastAsia="zh-CN"/>
              </w:rPr>
              <w:t>100</w:t>
            </w:r>
            <w:r w:rsidRPr="008A1DAF">
              <w:rPr>
                <w:rFonts w:ascii="Times New Roman" w:hAnsi="Times New Roman"/>
                <w:bCs/>
                <w:szCs w:val="22"/>
              </w:rPr>
              <w:t>-MHz</w:t>
            </w:r>
            <w:r w:rsidRPr="008A1DAF">
              <w:rPr>
                <w:rFonts w:eastAsia="DengXian"/>
                <w:szCs w:val="22"/>
                <w:lang w:val="en-US" w:eastAsia="zh-CN"/>
              </w:rPr>
              <w:t>’</w:t>
            </w:r>
            <w:r w:rsidRPr="008A1DAF">
              <w:rPr>
                <w:rFonts w:eastAsia="DengXian" w:hint="eastAsia"/>
                <w:szCs w:val="22"/>
                <w:lang w:val="en-US" w:eastAsia="zh-CN"/>
              </w:rPr>
              <w:t xml:space="preserve">, </w:t>
            </w:r>
            <w:r w:rsidRPr="008A1DAF">
              <w:rPr>
                <w:rFonts w:eastAsia="DengXian"/>
                <w:szCs w:val="22"/>
                <w:lang w:val="en-US" w:eastAsia="zh-CN"/>
              </w:rPr>
              <w:t>‘</w:t>
            </w:r>
            <w:r w:rsidRPr="008A1DAF">
              <w:rPr>
                <w:rFonts w:eastAsia="DengXian" w:hint="eastAsia"/>
                <w:bCs/>
                <w:szCs w:val="22"/>
                <w:lang w:eastAsia="zh-CN"/>
              </w:rPr>
              <w:t>5</w:t>
            </w:r>
            <w:r w:rsidRPr="008A1DAF">
              <w:rPr>
                <w:rFonts w:ascii="Times New Roman" w:hAnsi="Times New Roman"/>
                <w:bCs/>
                <w:szCs w:val="22"/>
              </w:rPr>
              <w:t>0-MHz</w:t>
            </w:r>
            <w:r w:rsidRPr="008A1DAF">
              <w:rPr>
                <w:rFonts w:eastAsia="DengXian"/>
                <w:szCs w:val="22"/>
                <w:lang w:val="en-US" w:eastAsia="zh-CN"/>
              </w:rPr>
              <w:t>’</w:t>
            </w:r>
            <w:r w:rsidRPr="008A1DAF">
              <w:rPr>
                <w:rFonts w:eastAsia="DengXian" w:hint="eastAsia"/>
                <w:szCs w:val="22"/>
                <w:lang w:val="en-US" w:eastAsia="zh-CN"/>
              </w:rPr>
              <w:t xml:space="preserve">, the </w:t>
            </w:r>
            <w:r w:rsidRPr="008A1DAF">
              <w:rPr>
                <w:rFonts w:eastAsia="DengXian"/>
                <w:szCs w:val="22"/>
                <w:lang w:val="en-US" w:eastAsia="zh-CN"/>
              </w:rPr>
              <w:t>hyphen character</w:t>
            </w:r>
            <w:r w:rsidRPr="008A1DAF">
              <w:rPr>
                <w:rFonts w:eastAsia="DengXian" w:hint="eastAsia"/>
                <w:szCs w:val="22"/>
                <w:lang w:val="en-US" w:eastAsia="zh-CN"/>
              </w:rPr>
              <w:t xml:space="preserve"> </w:t>
            </w:r>
            <w:r w:rsidRPr="008A1DAF">
              <w:rPr>
                <w:rFonts w:eastAsia="DengXian"/>
                <w:szCs w:val="22"/>
                <w:lang w:val="en-US" w:eastAsia="zh-CN"/>
              </w:rPr>
              <w:t>‘</w:t>
            </w:r>
            <w:r w:rsidRPr="008A1DAF">
              <w:rPr>
                <w:rFonts w:eastAsia="DengXian" w:hint="eastAsia"/>
                <w:szCs w:val="22"/>
                <w:lang w:val="en-US" w:eastAsia="zh-CN"/>
              </w:rPr>
              <w:t>-</w:t>
            </w:r>
            <w:r w:rsidRPr="008A1DAF">
              <w:rPr>
                <w:rFonts w:eastAsia="DengXian"/>
                <w:szCs w:val="22"/>
                <w:lang w:val="en-US" w:eastAsia="zh-CN"/>
              </w:rPr>
              <w:t>’</w:t>
            </w:r>
            <w:r w:rsidRPr="008A1DAF">
              <w:rPr>
                <w:rFonts w:eastAsia="DengXian" w:hint="eastAsia"/>
                <w:szCs w:val="22"/>
                <w:lang w:val="en-US" w:eastAsia="zh-CN"/>
              </w:rPr>
              <w:t xml:space="preserve"> should be replaced by space character.</w:t>
            </w:r>
          </w:p>
          <w:p w14:paraId="32DBDCDE" w14:textId="7B9603F6" w:rsidR="008A1DAF" w:rsidRPr="008A1DAF" w:rsidRDefault="008A1DAF" w:rsidP="008A1DAF">
            <w:pPr>
              <w:pStyle w:val="ListParagraph"/>
              <w:numPr>
                <w:ilvl w:val="0"/>
                <w:numId w:val="37"/>
              </w:numPr>
              <w:rPr>
                <w:rFonts w:eastAsia="DengXian"/>
                <w:szCs w:val="22"/>
                <w:lang w:val="en-US" w:eastAsia="zh-CN"/>
              </w:rPr>
            </w:pPr>
            <w:r w:rsidRPr="008A1DAF">
              <w:rPr>
                <w:rFonts w:eastAsia="DengXian" w:hint="eastAsia"/>
                <w:szCs w:val="22"/>
                <w:lang w:val="en-US" w:eastAsia="zh-CN"/>
              </w:rPr>
              <w:t xml:space="preserve">P27, Section 7.5.1 and 7.5.2, some </w:t>
            </w:r>
            <w:r>
              <w:rPr>
                <w:rFonts w:eastAsia="DengXian"/>
                <w:szCs w:val="22"/>
                <w:lang w:val="en-US" w:eastAsia="zh-CN"/>
              </w:rPr>
              <w:t>‘</w:t>
            </w:r>
            <w:r w:rsidRPr="008A1DAF">
              <w:rPr>
                <w:rFonts w:eastAsia="DengXian" w:hint="eastAsia"/>
                <w:szCs w:val="22"/>
                <w:lang w:val="en-US" w:eastAsia="zh-CN"/>
              </w:rPr>
              <w:t>N1</w:t>
            </w:r>
            <w:r>
              <w:rPr>
                <w:rFonts w:eastAsia="DengXian"/>
                <w:szCs w:val="22"/>
                <w:lang w:val="en-US" w:eastAsia="zh-CN"/>
              </w:rPr>
              <w:t>’</w:t>
            </w:r>
            <w:r w:rsidRPr="008A1DAF">
              <w:rPr>
                <w:rFonts w:eastAsia="DengXian" w:hint="eastAsia"/>
                <w:szCs w:val="22"/>
                <w:lang w:val="en-US" w:eastAsia="zh-CN"/>
              </w:rPr>
              <w:t xml:space="preserve"> should change to </w:t>
            </w:r>
            <w:r>
              <w:rPr>
                <w:rFonts w:eastAsia="DengXian"/>
                <w:szCs w:val="22"/>
                <w:lang w:val="en-US" w:eastAsia="zh-CN"/>
              </w:rPr>
              <w:t>‘</w:t>
            </w:r>
            <w:r w:rsidRPr="008A1DAF">
              <w:rPr>
                <w:rFonts w:eastAsia="DengXian" w:hint="eastAsia"/>
                <w:szCs w:val="22"/>
                <w:lang w:val="en-US" w:eastAsia="zh-CN"/>
              </w:rPr>
              <w:t>N</w:t>
            </w:r>
            <w:r w:rsidRPr="008A1DAF">
              <w:rPr>
                <w:rFonts w:eastAsia="DengXian" w:hint="eastAsia"/>
                <w:szCs w:val="22"/>
                <w:vertAlign w:val="subscript"/>
                <w:lang w:val="en-US" w:eastAsia="zh-CN"/>
              </w:rPr>
              <w:t>1</w:t>
            </w:r>
            <w:r w:rsidRPr="008A1DAF">
              <w:rPr>
                <w:rFonts w:eastAsia="DengXian"/>
                <w:szCs w:val="22"/>
                <w:lang w:val="en-US" w:eastAsia="zh-CN"/>
              </w:rPr>
              <w:t>’</w:t>
            </w:r>
            <w:r w:rsidRPr="008A1DAF">
              <w:rPr>
                <w:rFonts w:eastAsia="DengXian" w:hint="eastAsia"/>
                <w:szCs w:val="22"/>
                <w:lang w:val="en-US" w:eastAsia="zh-CN"/>
              </w:rPr>
              <w:t xml:space="preserve"> instead.</w:t>
            </w:r>
          </w:p>
          <w:p w14:paraId="37B4F73B" w14:textId="77777777" w:rsidR="008A1DAF" w:rsidRPr="008A1DAF" w:rsidRDefault="008A1DAF" w:rsidP="008A1DAF">
            <w:pPr>
              <w:pStyle w:val="ListParagraph"/>
              <w:numPr>
                <w:ilvl w:val="0"/>
                <w:numId w:val="37"/>
              </w:numPr>
              <w:rPr>
                <w:rFonts w:eastAsia="DengXian"/>
                <w:szCs w:val="22"/>
                <w:lang w:val="en-US" w:eastAsia="zh-CN"/>
              </w:rPr>
            </w:pPr>
            <w:r w:rsidRPr="008A1DAF">
              <w:rPr>
                <w:rFonts w:eastAsia="DengXian" w:hint="eastAsia"/>
                <w:szCs w:val="22"/>
                <w:lang w:val="en-US" w:eastAsia="zh-CN"/>
              </w:rPr>
              <w:t>P47, not sure whether Section 8.3&amp;8.4, 10.1.2~10.2.3, 11.1.2~11.2.3 should be kept or not. They are empty now.</w:t>
            </w:r>
          </w:p>
          <w:p w14:paraId="604B3561" w14:textId="347D7052" w:rsidR="008A1DAF" w:rsidRPr="00971B77" w:rsidRDefault="008A1DAF" w:rsidP="008A1DAF">
            <w:pPr>
              <w:pStyle w:val="ListParagraph"/>
              <w:numPr>
                <w:ilvl w:val="0"/>
                <w:numId w:val="37"/>
              </w:numPr>
              <w:rPr>
                <w:rFonts w:eastAsia="Yu Mincho"/>
                <w:lang w:val="en-US"/>
              </w:rPr>
            </w:pPr>
            <w:r w:rsidRPr="008A1DAF">
              <w:rPr>
                <w:rFonts w:eastAsia="DengXian" w:hint="eastAsia"/>
                <w:szCs w:val="22"/>
                <w:lang w:val="en-US" w:eastAsia="zh-CN"/>
              </w:rPr>
              <w:t>We are supportive to Section 12. Moreover, we think contends of Section 9.1.5 (coverage recovery conclusions) can also be added here.</w:t>
            </w:r>
          </w:p>
        </w:tc>
      </w:tr>
      <w:tr w:rsidR="009B4667" w:rsidRPr="008E3AB5" w14:paraId="70282BDD" w14:textId="77777777" w:rsidTr="00C371EC">
        <w:tc>
          <w:tcPr>
            <w:tcW w:w="1479" w:type="dxa"/>
          </w:tcPr>
          <w:p w14:paraId="7880C61E" w14:textId="56F49935" w:rsidR="009B4667" w:rsidRDefault="009B4667" w:rsidP="009B4667">
            <w:pPr>
              <w:rPr>
                <w:rFonts w:eastAsia="DengXian"/>
                <w:lang w:val="en-US" w:eastAsia="zh-CN"/>
              </w:rPr>
            </w:pPr>
            <w:r>
              <w:rPr>
                <w:lang w:val="en-US" w:eastAsia="ko-KR"/>
              </w:rPr>
              <w:lastRenderedPageBreak/>
              <w:t>Intel</w:t>
            </w:r>
          </w:p>
        </w:tc>
        <w:tc>
          <w:tcPr>
            <w:tcW w:w="8155" w:type="dxa"/>
          </w:tcPr>
          <w:p w14:paraId="00A67394" w14:textId="7CB70E56" w:rsidR="009B4667" w:rsidRDefault="009B4667" w:rsidP="009B4667">
            <w:pPr>
              <w:spacing w:after="0"/>
              <w:jc w:val="both"/>
              <w:rPr>
                <w:rFonts w:eastAsia="Times New Roman"/>
                <w:sz w:val="22"/>
                <w:szCs w:val="22"/>
              </w:rPr>
            </w:pPr>
            <w:r w:rsidRPr="00476B8B">
              <w:rPr>
                <w:rFonts w:eastAsia="Times New Roman"/>
                <w:sz w:val="22"/>
                <w:szCs w:val="22"/>
              </w:rPr>
              <w:t xml:space="preserve">We have the following suggestions: </w:t>
            </w:r>
          </w:p>
          <w:p w14:paraId="15ADFBEC" w14:textId="77777777" w:rsidR="009A0CFA" w:rsidRPr="00476B8B" w:rsidRDefault="009A0CFA" w:rsidP="009B4667">
            <w:pPr>
              <w:spacing w:after="0"/>
              <w:jc w:val="both"/>
              <w:rPr>
                <w:rFonts w:eastAsia="Times New Roman"/>
                <w:sz w:val="22"/>
                <w:szCs w:val="22"/>
              </w:rPr>
            </w:pPr>
          </w:p>
          <w:p w14:paraId="0CACA8C5" w14:textId="77777777" w:rsidR="009B4667" w:rsidRPr="00E402EC" w:rsidRDefault="009B4667" w:rsidP="009B4667">
            <w:pPr>
              <w:pStyle w:val="ListParagraph"/>
              <w:numPr>
                <w:ilvl w:val="0"/>
                <w:numId w:val="38"/>
              </w:numPr>
              <w:spacing w:after="0"/>
              <w:jc w:val="both"/>
              <w:rPr>
                <w:rFonts w:ascii="Times New Roman" w:eastAsia="Times New Roman" w:hAnsi="Times New Roman" w:cs="Times New Roman"/>
                <w:color w:val="000000"/>
                <w:sz w:val="20"/>
                <w:szCs w:val="20"/>
                <w:lang w:val="en-US"/>
              </w:rPr>
            </w:pPr>
            <w:r w:rsidRPr="00E402EC">
              <w:rPr>
                <w:rFonts w:eastAsia="Times New Roman"/>
                <w:b/>
                <w:bCs/>
              </w:rPr>
              <w:t xml:space="preserve">Section 8.2.3: </w:t>
            </w:r>
            <w:r w:rsidRPr="00E402EC">
              <w:rPr>
                <w:rFonts w:eastAsia="Times New Roman"/>
              </w:rPr>
              <w:t>“</w:t>
            </w:r>
            <w:r w:rsidRPr="00E402EC">
              <w:rPr>
                <w:rFonts w:eastAsia="Times New Roman"/>
                <w:color w:val="000000"/>
              </w:rPr>
              <w:t xml:space="preserve">The latency impact due to BD reduction may largely depend on PDCCH blocking rate performance impact. If the PDCCH blocking rate is increased by BD reduction, </w:t>
            </w:r>
            <w:r w:rsidRPr="00E402EC">
              <w:rPr>
                <w:rFonts w:eastAsia="Times New Roman"/>
                <w:color w:val="000000"/>
                <w:highlight w:val="yellow"/>
              </w:rPr>
              <w:t>the latency performance is expected to be increased</w:t>
            </w:r>
            <w:r w:rsidRPr="00E402EC">
              <w:rPr>
                <w:rFonts w:eastAsia="Times New Roman"/>
                <w:color w:val="000000"/>
              </w:rPr>
              <w:t>; Otherwise, BD reduction has no impact on the latency.</w:t>
            </w:r>
            <w:r w:rsidRPr="00E402EC">
              <w:rPr>
                <w:rFonts w:eastAsia="Times New Roman"/>
              </w:rPr>
              <w:t>”</w:t>
            </w:r>
          </w:p>
          <w:p w14:paraId="56D3434A" w14:textId="77777777" w:rsidR="009B4667" w:rsidRPr="0071218C" w:rsidRDefault="009B4667" w:rsidP="009B4667">
            <w:pPr>
              <w:pStyle w:val="ListParagraph"/>
              <w:numPr>
                <w:ilvl w:val="1"/>
                <w:numId w:val="38"/>
              </w:numPr>
              <w:spacing w:after="0" w:line="240" w:lineRule="auto"/>
              <w:contextualSpacing w:val="0"/>
              <w:jc w:val="both"/>
              <w:rPr>
                <w:rFonts w:ascii="Times New Roman" w:eastAsia="Times New Roman" w:hAnsi="Times New Roman" w:cs="Times New Roman"/>
                <w:color w:val="000000"/>
                <w:szCs w:val="22"/>
              </w:rPr>
            </w:pPr>
            <w:r w:rsidRPr="0071218C">
              <w:rPr>
                <w:rFonts w:ascii="Times New Roman" w:eastAsia="Times New Roman" w:hAnsi="Times New Roman" w:cs="Times New Roman"/>
                <w:color w:val="000000"/>
                <w:szCs w:val="22"/>
              </w:rPr>
              <w:t>The highlighted phrase is ambiguous as to what is meant by “latency performance” since the desirable performance</w:t>
            </w:r>
            <w:r>
              <w:rPr>
                <w:rFonts w:ascii="Times New Roman" w:eastAsia="Times New Roman" w:hAnsi="Times New Roman" w:cs="Times New Roman"/>
                <w:color w:val="000000"/>
                <w:szCs w:val="22"/>
              </w:rPr>
              <w:t xml:space="preserve"> (typically associated with ”performance increase/improvement”)</w:t>
            </w:r>
            <w:r w:rsidRPr="0071218C">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 xml:space="preserve">in the context of </w:t>
            </w:r>
            <w:r w:rsidRPr="0071218C">
              <w:rPr>
                <w:rFonts w:ascii="Times New Roman" w:eastAsia="Times New Roman" w:hAnsi="Times New Roman" w:cs="Times New Roman"/>
                <w:color w:val="000000"/>
                <w:szCs w:val="22"/>
              </w:rPr>
              <w:t xml:space="preserve">latency is when the latter reduces </w:t>
            </w:r>
            <w:r>
              <w:rPr>
                <w:rFonts w:ascii="Times New Roman" w:eastAsia="Times New Roman" w:hAnsi="Times New Roman" w:cs="Times New Roman"/>
                <w:color w:val="000000"/>
                <w:szCs w:val="22"/>
              </w:rPr>
              <w:t xml:space="preserve">and </w:t>
            </w:r>
            <w:r w:rsidRPr="0071218C">
              <w:rPr>
                <w:rFonts w:ascii="Times New Roman" w:eastAsia="Times New Roman" w:hAnsi="Times New Roman" w:cs="Times New Roman"/>
                <w:color w:val="000000"/>
                <w:szCs w:val="22"/>
              </w:rPr>
              <w:t xml:space="preserve">not when it is increased. </w:t>
            </w:r>
            <w:r>
              <w:rPr>
                <w:rFonts w:ascii="Times New Roman" w:eastAsia="Times New Roman" w:hAnsi="Times New Roman" w:cs="Times New Roman"/>
                <w:color w:val="000000"/>
                <w:szCs w:val="22"/>
              </w:rPr>
              <w:t>Thus, we s</w:t>
            </w:r>
            <w:r w:rsidRPr="0071218C">
              <w:rPr>
                <w:rFonts w:ascii="Times New Roman" w:eastAsia="Times New Roman" w:hAnsi="Times New Roman" w:cs="Times New Roman"/>
                <w:color w:val="000000"/>
                <w:szCs w:val="22"/>
              </w:rPr>
              <w:t xml:space="preserve">uggest </w:t>
            </w:r>
            <w:r>
              <w:rPr>
                <w:rFonts w:ascii="Times New Roman" w:eastAsia="Times New Roman" w:hAnsi="Times New Roman" w:cs="Times New Roman"/>
                <w:color w:val="000000"/>
                <w:szCs w:val="22"/>
              </w:rPr>
              <w:t xml:space="preserve">an </w:t>
            </w:r>
            <w:r w:rsidRPr="0071218C">
              <w:rPr>
                <w:rFonts w:ascii="Times New Roman" w:eastAsia="Times New Roman" w:hAnsi="Times New Roman" w:cs="Times New Roman"/>
                <w:color w:val="000000"/>
                <w:szCs w:val="22"/>
              </w:rPr>
              <w:t>editorial update as following, where “</w:t>
            </w:r>
            <w:r w:rsidRPr="0071218C">
              <w:rPr>
                <w:rFonts w:eastAsia="Times New Roman"/>
                <w:color w:val="00B050"/>
                <w:highlight w:val="yellow"/>
              </w:rPr>
              <w:t>average</w:t>
            </w:r>
            <w:r w:rsidRPr="0071218C">
              <w:rPr>
                <w:rFonts w:ascii="Times New Roman" w:eastAsia="Times New Roman" w:hAnsi="Times New Roman" w:cs="Times New Roman"/>
                <w:color w:val="000000"/>
                <w:szCs w:val="22"/>
              </w:rPr>
              <w:t xml:space="preserve">” is added since </w:t>
            </w:r>
            <w:r>
              <w:rPr>
                <w:rFonts w:ascii="Times New Roman" w:eastAsia="Times New Roman" w:hAnsi="Times New Roman" w:cs="Times New Roman"/>
                <w:color w:val="000000"/>
                <w:szCs w:val="22"/>
              </w:rPr>
              <w:t>it is</w:t>
            </w:r>
            <w:r w:rsidRPr="0071218C">
              <w:rPr>
                <w:rFonts w:ascii="Times New Roman" w:eastAsia="Times New Roman" w:hAnsi="Times New Roman" w:cs="Times New Roman"/>
                <w:color w:val="000000"/>
                <w:szCs w:val="22"/>
              </w:rPr>
              <w:t xml:space="preserve"> the </w:t>
            </w:r>
            <w:r>
              <w:rPr>
                <w:rFonts w:ascii="Times New Roman" w:eastAsia="Times New Roman" w:hAnsi="Times New Roman" w:cs="Times New Roman"/>
                <w:color w:val="000000"/>
                <w:szCs w:val="22"/>
              </w:rPr>
              <w:t>average latency</w:t>
            </w:r>
            <w:r w:rsidRPr="0071218C">
              <w:rPr>
                <w:rFonts w:ascii="Times New Roman" w:eastAsia="Times New Roman" w:hAnsi="Times New Roman" w:cs="Times New Roman"/>
                <w:color w:val="000000"/>
                <w:szCs w:val="22"/>
              </w:rPr>
              <w:t xml:space="preserve"> that can be expected to increase</w:t>
            </w:r>
            <w:r>
              <w:rPr>
                <w:rFonts w:ascii="Times New Roman" w:eastAsia="Times New Roman" w:hAnsi="Times New Roman" w:cs="Times New Roman"/>
                <w:color w:val="000000"/>
                <w:szCs w:val="22"/>
              </w:rPr>
              <w:t xml:space="preserve"> (</w:t>
            </w:r>
            <w:r w:rsidRPr="0071218C">
              <w:rPr>
                <w:rFonts w:ascii="Times New Roman" w:eastAsia="Times New Roman" w:hAnsi="Times New Roman" w:cs="Times New Roman"/>
                <w:color w:val="000000"/>
                <w:szCs w:val="22"/>
              </w:rPr>
              <w:t>the worst-case latency may not increase</w:t>
            </w:r>
            <w:r>
              <w:rPr>
                <w:rFonts w:ascii="Times New Roman" w:eastAsia="Times New Roman" w:hAnsi="Times New Roman" w:cs="Times New Roman"/>
                <w:color w:val="000000"/>
                <w:szCs w:val="22"/>
              </w:rPr>
              <w:t>)</w:t>
            </w:r>
            <w:r w:rsidRPr="0071218C">
              <w:rPr>
                <w:rFonts w:ascii="Times New Roman" w:eastAsia="Times New Roman" w:hAnsi="Times New Roman" w:cs="Times New Roman"/>
                <w:color w:val="000000"/>
                <w:szCs w:val="22"/>
              </w:rPr>
              <w:t>.</w:t>
            </w:r>
          </w:p>
          <w:p w14:paraId="01C95C4B" w14:textId="77777777" w:rsidR="009B4667" w:rsidRDefault="009B4667" w:rsidP="009B4667">
            <w:pPr>
              <w:pStyle w:val="ListParagraph"/>
              <w:numPr>
                <w:ilvl w:val="2"/>
                <w:numId w:val="38"/>
              </w:numPr>
              <w:spacing w:after="0" w:line="240" w:lineRule="auto"/>
              <w:contextualSpacing w:val="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eastAsia="Times New Roman"/>
                <w:color w:val="000000"/>
              </w:rPr>
              <w:t xml:space="preserve">The latency impact due to BD reduction may largely depend on PDCCH blocking rate performance impact. If the PDCCH blocking rate is increased by BD reduction, the </w:t>
            </w:r>
            <w:r w:rsidRPr="0071218C">
              <w:rPr>
                <w:rFonts w:eastAsia="Times New Roman"/>
                <w:color w:val="00B050"/>
                <w:highlight w:val="yellow"/>
              </w:rPr>
              <w:t>average</w:t>
            </w:r>
            <w:r w:rsidRPr="0071218C">
              <w:rPr>
                <w:rFonts w:eastAsia="Times New Roman"/>
                <w:color w:val="00B050"/>
              </w:rPr>
              <w:t xml:space="preserve"> </w:t>
            </w:r>
            <w:r>
              <w:rPr>
                <w:rFonts w:eastAsia="Times New Roman"/>
                <w:color w:val="000000"/>
              </w:rPr>
              <w:t xml:space="preserve">latency </w:t>
            </w:r>
            <w:r w:rsidRPr="00476B8B">
              <w:rPr>
                <w:rFonts w:eastAsia="Times New Roman"/>
                <w:strike/>
                <w:color w:val="FF0000"/>
              </w:rPr>
              <w:t>performance</w:t>
            </w:r>
            <w:r w:rsidRPr="00476B8B">
              <w:rPr>
                <w:rFonts w:eastAsia="Times New Roman"/>
                <w:color w:val="FF0000"/>
              </w:rPr>
              <w:t xml:space="preserve"> </w:t>
            </w:r>
            <w:r>
              <w:rPr>
                <w:rFonts w:eastAsia="Times New Roman"/>
                <w:color w:val="000000"/>
              </w:rPr>
              <w:t>is expected to be increased; Otherwise, BD reduction has no impact on the latency. </w:t>
            </w:r>
            <w:r>
              <w:rPr>
                <w:rFonts w:ascii="Times New Roman" w:eastAsia="Times New Roman" w:hAnsi="Times New Roman" w:cs="Times New Roman"/>
                <w:color w:val="000000"/>
                <w:sz w:val="20"/>
                <w:szCs w:val="20"/>
              </w:rPr>
              <w:t>”</w:t>
            </w:r>
          </w:p>
          <w:p w14:paraId="24E66258" w14:textId="77777777" w:rsidR="009B4667" w:rsidRDefault="009B4667" w:rsidP="009B4667">
            <w:pPr>
              <w:pStyle w:val="ListParagraph"/>
              <w:numPr>
                <w:ilvl w:val="0"/>
                <w:numId w:val="38"/>
              </w:numPr>
              <w:spacing w:after="0" w:line="240" w:lineRule="auto"/>
              <w:contextualSpacing w:val="0"/>
              <w:jc w:val="both"/>
              <w:rPr>
                <w:rFonts w:ascii="Calibri" w:eastAsia="Times New Roman" w:hAnsi="Calibri" w:cs="Calibri"/>
                <w:color w:val="000000"/>
                <w:szCs w:val="22"/>
              </w:rPr>
            </w:pPr>
            <w:r>
              <w:rPr>
                <w:rFonts w:eastAsia="Times New Roman"/>
                <w:b/>
                <w:bCs/>
                <w:color w:val="000000"/>
              </w:rPr>
              <w:t>Section 9.1.5:</w:t>
            </w:r>
            <w:r>
              <w:rPr>
                <w:rFonts w:eastAsia="Times New Roman"/>
                <w:color w:val="000000"/>
              </w:rPr>
              <w:t xml:space="preserve"> “For other carrier frequencies or DL PSD </w:t>
            </w:r>
            <w:r>
              <w:rPr>
                <w:rFonts w:eastAsia="Times New Roman"/>
                <w:color w:val="000000"/>
                <w:highlight w:val="yellow"/>
              </w:rPr>
              <w:t>other than</w:t>
            </w:r>
            <w:r>
              <w:rPr>
                <w:rFonts w:eastAsia="Times New Roman"/>
                <w:color w:val="000000"/>
              </w:rPr>
              <w:t xml:space="preserve"> 24 dBm/MHz, coverage recovery is not needed for the downlink channels if the target for coverage recovery is based on the MIL of the bottleneck channel for the reference NR UE”</w:t>
            </w:r>
          </w:p>
          <w:p w14:paraId="35578D2F" w14:textId="77777777" w:rsidR="009B4667" w:rsidRDefault="009B4667" w:rsidP="009B4667">
            <w:pPr>
              <w:pStyle w:val="ListParagraph"/>
              <w:numPr>
                <w:ilvl w:val="1"/>
                <w:numId w:val="38"/>
              </w:numPr>
              <w:spacing w:after="0" w:line="240" w:lineRule="auto"/>
              <w:contextualSpacing w:val="0"/>
              <w:jc w:val="both"/>
              <w:rPr>
                <w:szCs w:val="22"/>
              </w:rPr>
            </w:pPr>
            <w:r>
              <w:rPr>
                <w:rFonts w:eastAsia="Times New Roman"/>
                <w:color w:val="000000"/>
              </w:rPr>
              <w:t>In the above, “</w:t>
            </w:r>
            <w:r>
              <w:rPr>
                <w:rFonts w:eastAsia="Times New Roman"/>
                <w:color w:val="000000"/>
                <w:highlight w:val="yellow"/>
              </w:rPr>
              <w:t>other than</w:t>
            </w:r>
            <w:r>
              <w:rPr>
                <w:rFonts w:eastAsia="Times New Roman"/>
                <w:color w:val="000000"/>
              </w:rPr>
              <w:t>” should perhaps be replaced by “</w:t>
            </w:r>
            <w:r w:rsidRPr="006767A3">
              <w:rPr>
                <w:rFonts w:eastAsia="Times New Roman"/>
                <w:b/>
                <w:bCs/>
                <w:color w:val="00B050"/>
              </w:rPr>
              <w:t>greater than</w:t>
            </w:r>
            <w:r>
              <w:rPr>
                <w:rFonts w:eastAsia="Times New Roman"/>
                <w:color w:val="000000"/>
              </w:rPr>
              <w:t>”? While ”other than” may be clear to us since we only considered two values, the statement standing on its own could be misleading to the general reader.</w:t>
            </w:r>
          </w:p>
          <w:p w14:paraId="7F3D5D10" w14:textId="2BA4B35C" w:rsidR="009B4667" w:rsidRPr="008A1DAF" w:rsidRDefault="009B4667" w:rsidP="009B4667">
            <w:pPr>
              <w:rPr>
                <w:rFonts w:eastAsia="DengXian"/>
                <w:sz w:val="22"/>
                <w:szCs w:val="22"/>
                <w:lang w:val="en-US" w:eastAsia="zh-CN"/>
              </w:rPr>
            </w:pPr>
          </w:p>
        </w:tc>
      </w:tr>
      <w:tr w:rsidR="00E359FD" w:rsidRPr="008E3AB5" w14:paraId="3909F9E1" w14:textId="77777777" w:rsidTr="00C371EC">
        <w:tc>
          <w:tcPr>
            <w:tcW w:w="1479" w:type="dxa"/>
          </w:tcPr>
          <w:p w14:paraId="42C882DB" w14:textId="5B7A6AD9" w:rsidR="00E359FD" w:rsidRDefault="00E359FD" w:rsidP="009B4667">
            <w:pPr>
              <w:rPr>
                <w:lang w:val="en-US" w:eastAsia="ko-KR"/>
              </w:rPr>
            </w:pPr>
            <w:r>
              <w:rPr>
                <w:lang w:val="en-US" w:eastAsia="ko-KR"/>
              </w:rPr>
              <w:t>Intel2</w:t>
            </w:r>
          </w:p>
        </w:tc>
        <w:tc>
          <w:tcPr>
            <w:tcW w:w="8155" w:type="dxa"/>
          </w:tcPr>
          <w:p w14:paraId="2DA2AFF8" w14:textId="107092E0" w:rsidR="00E359FD" w:rsidRDefault="00583749" w:rsidP="009B4667">
            <w:pPr>
              <w:spacing w:after="0"/>
              <w:jc w:val="both"/>
              <w:rPr>
                <w:rFonts w:eastAsia="Times New Roman"/>
                <w:sz w:val="22"/>
                <w:szCs w:val="22"/>
              </w:rPr>
            </w:pPr>
            <w:r>
              <w:rPr>
                <w:rFonts w:eastAsia="Times New Roman"/>
                <w:sz w:val="22"/>
                <w:szCs w:val="22"/>
              </w:rPr>
              <w:t>With slightly updated suggestion for Section 9.1.5:</w:t>
            </w:r>
          </w:p>
          <w:p w14:paraId="49BF4F73" w14:textId="4B57D1D5" w:rsidR="00583749" w:rsidRDefault="00583749" w:rsidP="009B4667">
            <w:pPr>
              <w:spacing w:after="0"/>
              <w:jc w:val="both"/>
              <w:rPr>
                <w:rFonts w:eastAsia="Times New Roman"/>
                <w:sz w:val="22"/>
                <w:szCs w:val="22"/>
              </w:rPr>
            </w:pPr>
          </w:p>
          <w:p w14:paraId="0240148A" w14:textId="77777777" w:rsidR="00583749" w:rsidRPr="00E402EC" w:rsidRDefault="00583749" w:rsidP="00583749">
            <w:pPr>
              <w:pStyle w:val="ListParagraph"/>
              <w:numPr>
                <w:ilvl w:val="0"/>
                <w:numId w:val="38"/>
              </w:numPr>
              <w:spacing w:after="0"/>
              <w:jc w:val="both"/>
              <w:rPr>
                <w:rFonts w:ascii="Times New Roman" w:eastAsia="Times New Roman" w:hAnsi="Times New Roman" w:cs="Times New Roman"/>
                <w:color w:val="000000"/>
                <w:sz w:val="20"/>
                <w:szCs w:val="20"/>
                <w:lang w:val="en-US"/>
              </w:rPr>
            </w:pPr>
            <w:r w:rsidRPr="00E402EC">
              <w:rPr>
                <w:rFonts w:eastAsia="Times New Roman"/>
                <w:b/>
                <w:bCs/>
              </w:rPr>
              <w:t xml:space="preserve">Section 8.2.3: </w:t>
            </w:r>
            <w:r w:rsidRPr="00E402EC">
              <w:rPr>
                <w:rFonts w:eastAsia="Times New Roman"/>
              </w:rPr>
              <w:t>“</w:t>
            </w:r>
            <w:r w:rsidRPr="00E402EC">
              <w:rPr>
                <w:rFonts w:eastAsia="Times New Roman"/>
                <w:color w:val="000000"/>
              </w:rPr>
              <w:t xml:space="preserve">The latency impact due to BD reduction may largely depend on PDCCH blocking rate performance impact. If the PDCCH blocking rate is increased by BD reduction, </w:t>
            </w:r>
            <w:r w:rsidRPr="00E402EC">
              <w:rPr>
                <w:rFonts w:eastAsia="Times New Roman"/>
                <w:color w:val="000000"/>
                <w:highlight w:val="yellow"/>
              </w:rPr>
              <w:t>the latency performance is expected to be increased</w:t>
            </w:r>
            <w:r w:rsidRPr="00E402EC">
              <w:rPr>
                <w:rFonts w:eastAsia="Times New Roman"/>
                <w:color w:val="000000"/>
              </w:rPr>
              <w:t>; Otherwise, BD reduction has no impact on the latency.</w:t>
            </w:r>
            <w:r w:rsidRPr="00E402EC">
              <w:rPr>
                <w:rFonts w:eastAsia="Times New Roman"/>
              </w:rPr>
              <w:t>”</w:t>
            </w:r>
          </w:p>
          <w:p w14:paraId="6F609B91" w14:textId="77777777" w:rsidR="00583749" w:rsidRPr="0071218C" w:rsidRDefault="00583749" w:rsidP="00583749">
            <w:pPr>
              <w:pStyle w:val="ListParagraph"/>
              <w:numPr>
                <w:ilvl w:val="1"/>
                <w:numId w:val="38"/>
              </w:numPr>
              <w:spacing w:after="0" w:line="240" w:lineRule="auto"/>
              <w:contextualSpacing w:val="0"/>
              <w:jc w:val="both"/>
              <w:rPr>
                <w:rFonts w:ascii="Times New Roman" w:eastAsia="Times New Roman" w:hAnsi="Times New Roman" w:cs="Times New Roman"/>
                <w:color w:val="000000"/>
                <w:szCs w:val="22"/>
              </w:rPr>
            </w:pPr>
            <w:r w:rsidRPr="0071218C">
              <w:rPr>
                <w:rFonts w:ascii="Times New Roman" w:eastAsia="Times New Roman" w:hAnsi="Times New Roman" w:cs="Times New Roman"/>
                <w:color w:val="000000"/>
                <w:szCs w:val="22"/>
              </w:rPr>
              <w:t>The highlighted phrase is ambiguous as to what is meant by “latency performance” since the desirable performance</w:t>
            </w:r>
            <w:r>
              <w:rPr>
                <w:rFonts w:ascii="Times New Roman" w:eastAsia="Times New Roman" w:hAnsi="Times New Roman" w:cs="Times New Roman"/>
                <w:color w:val="000000"/>
                <w:szCs w:val="22"/>
              </w:rPr>
              <w:t xml:space="preserve"> (typically associated with ”performance increase/improvement”)</w:t>
            </w:r>
            <w:r w:rsidRPr="0071218C">
              <w:rPr>
                <w:rFonts w:ascii="Times New Roman" w:eastAsia="Times New Roman" w:hAnsi="Times New Roman" w:cs="Times New Roman"/>
                <w:color w:val="000000"/>
                <w:szCs w:val="22"/>
              </w:rPr>
              <w:t xml:space="preserve"> </w:t>
            </w:r>
            <w:r>
              <w:rPr>
                <w:rFonts w:ascii="Times New Roman" w:eastAsia="Times New Roman" w:hAnsi="Times New Roman" w:cs="Times New Roman"/>
                <w:color w:val="000000"/>
                <w:szCs w:val="22"/>
              </w:rPr>
              <w:t xml:space="preserve">in the context of </w:t>
            </w:r>
            <w:r w:rsidRPr="0071218C">
              <w:rPr>
                <w:rFonts w:ascii="Times New Roman" w:eastAsia="Times New Roman" w:hAnsi="Times New Roman" w:cs="Times New Roman"/>
                <w:color w:val="000000"/>
                <w:szCs w:val="22"/>
              </w:rPr>
              <w:t xml:space="preserve">latency is when the latter reduces </w:t>
            </w:r>
            <w:r>
              <w:rPr>
                <w:rFonts w:ascii="Times New Roman" w:eastAsia="Times New Roman" w:hAnsi="Times New Roman" w:cs="Times New Roman"/>
                <w:color w:val="000000"/>
                <w:szCs w:val="22"/>
              </w:rPr>
              <w:t xml:space="preserve">and </w:t>
            </w:r>
            <w:r w:rsidRPr="0071218C">
              <w:rPr>
                <w:rFonts w:ascii="Times New Roman" w:eastAsia="Times New Roman" w:hAnsi="Times New Roman" w:cs="Times New Roman"/>
                <w:color w:val="000000"/>
                <w:szCs w:val="22"/>
              </w:rPr>
              <w:t xml:space="preserve">not when it is increased. </w:t>
            </w:r>
            <w:r>
              <w:rPr>
                <w:rFonts w:ascii="Times New Roman" w:eastAsia="Times New Roman" w:hAnsi="Times New Roman" w:cs="Times New Roman"/>
                <w:color w:val="000000"/>
                <w:szCs w:val="22"/>
              </w:rPr>
              <w:t>Thus, we s</w:t>
            </w:r>
            <w:r w:rsidRPr="0071218C">
              <w:rPr>
                <w:rFonts w:ascii="Times New Roman" w:eastAsia="Times New Roman" w:hAnsi="Times New Roman" w:cs="Times New Roman"/>
                <w:color w:val="000000"/>
                <w:szCs w:val="22"/>
              </w:rPr>
              <w:t xml:space="preserve">uggest </w:t>
            </w:r>
            <w:r>
              <w:rPr>
                <w:rFonts w:ascii="Times New Roman" w:eastAsia="Times New Roman" w:hAnsi="Times New Roman" w:cs="Times New Roman"/>
                <w:color w:val="000000"/>
                <w:szCs w:val="22"/>
              </w:rPr>
              <w:t xml:space="preserve">an </w:t>
            </w:r>
            <w:r w:rsidRPr="0071218C">
              <w:rPr>
                <w:rFonts w:ascii="Times New Roman" w:eastAsia="Times New Roman" w:hAnsi="Times New Roman" w:cs="Times New Roman"/>
                <w:color w:val="000000"/>
                <w:szCs w:val="22"/>
              </w:rPr>
              <w:t>editorial update as following, where “</w:t>
            </w:r>
            <w:r w:rsidRPr="0071218C">
              <w:rPr>
                <w:rFonts w:eastAsia="Times New Roman"/>
                <w:color w:val="00B050"/>
                <w:highlight w:val="yellow"/>
              </w:rPr>
              <w:t>average</w:t>
            </w:r>
            <w:r w:rsidRPr="0071218C">
              <w:rPr>
                <w:rFonts w:ascii="Times New Roman" w:eastAsia="Times New Roman" w:hAnsi="Times New Roman" w:cs="Times New Roman"/>
                <w:color w:val="000000"/>
                <w:szCs w:val="22"/>
              </w:rPr>
              <w:t xml:space="preserve">” is added since </w:t>
            </w:r>
            <w:r>
              <w:rPr>
                <w:rFonts w:ascii="Times New Roman" w:eastAsia="Times New Roman" w:hAnsi="Times New Roman" w:cs="Times New Roman"/>
                <w:color w:val="000000"/>
                <w:szCs w:val="22"/>
              </w:rPr>
              <w:t>it is</w:t>
            </w:r>
            <w:r w:rsidRPr="0071218C">
              <w:rPr>
                <w:rFonts w:ascii="Times New Roman" w:eastAsia="Times New Roman" w:hAnsi="Times New Roman" w:cs="Times New Roman"/>
                <w:color w:val="000000"/>
                <w:szCs w:val="22"/>
              </w:rPr>
              <w:t xml:space="preserve"> the </w:t>
            </w:r>
            <w:r>
              <w:rPr>
                <w:rFonts w:ascii="Times New Roman" w:eastAsia="Times New Roman" w:hAnsi="Times New Roman" w:cs="Times New Roman"/>
                <w:color w:val="000000"/>
                <w:szCs w:val="22"/>
              </w:rPr>
              <w:t>average latency</w:t>
            </w:r>
            <w:r w:rsidRPr="0071218C">
              <w:rPr>
                <w:rFonts w:ascii="Times New Roman" w:eastAsia="Times New Roman" w:hAnsi="Times New Roman" w:cs="Times New Roman"/>
                <w:color w:val="000000"/>
                <w:szCs w:val="22"/>
              </w:rPr>
              <w:t xml:space="preserve"> that can be expected to increase</w:t>
            </w:r>
            <w:r>
              <w:rPr>
                <w:rFonts w:ascii="Times New Roman" w:eastAsia="Times New Roman" w:hAnsi="Times New Roman" w:cs="Times New Roman"/>
                <w:color w:val="000000"/>
                <w:szCs w:val="22"/>
              </w:rPr>
              <w:t xml:space="preserve"> (</w:t>
            </w:r>
            <w:r w:rsidRPr="0071218C">
              <w:rPr>
                <w:rFonts w:ascii="Times New Roman" w:eastAsia="Times New Roman" w:hAnsi="Times New Roman" w:cs="Times New Roman"/>
                <w:color w:val="000000"/>
                <w:szCs w:val="22"/>
              </w:rPr>
              <w:t>the worst-case latency may not increase</w:t>
            </w:r>
            <w:r>
              <w:rPr>
                <w:rFonts w:ascii="Times New Roman" w:eastAsia="Times New Roman" w:hAnsi="Times New Roman" w:cs="Times New Roman"/>
                <w:color w:val="000000"/>
                <w:szCs w:val="22"/>
              </w:rPr>
              <w:t>)</w:t>
            </w:r>
            <w:r w:rsidRPr="0071218C">
              <w:rPr>
                <w:rFonts w:ascii="Times New Roman" w:eastAsia="Times New Roman" w:hAnsi="Times New Roman" w:cs="Times New Roman"/>
                <w:color w:val="000000"/>
                <w:szCs w:val="22"/>
              </w:rPr>
              <w:t>.</w:t>
            </w:r>
          </w:p>
          <w:p w14:paraId="683CF4AC" w14:textId="77777777" w:rsidR="00583749" w:rsidRDefault="00583749" w:rsidP="00583749">
            <w:pPr>
              <w:pStyle w:val="ListParagraph"/>
              <w:numPr>
                <w:ilvl w:val="2"/>
                <w:numId w:val="38"/>
              </w:numPr>
              <w:spacing w:after="0" w:line="240" w:lineRule="auto"/>
              <w:contextualSpacing w:val="0"/>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w:t>
            </w:r>
            <w:r>
              <w:rPr>
                <w:rFonts w:eastAsia="Times New Roman"/>
                <w:color w:val="000000"/>
              </w:rPr>
              <w:t xml:space="preserve">The latency impact due to BD reduction may largely depend on PDCCH blocking rate performance impact. If the PDCCH </w:t>
            </w:r>
            <w:r>
              <w:rPr>
                <w:rFonts w:eastAsia="Times New Roman"/>
                <w:color w:val="000000"/>
              </w:rPr>
              <w:lastRenderedPageBreak/>
              <w:t xml:space="preserve">blocking rate is increased by BD reduction, the </w:t>
            </w:r>
            <w:r w:rsidRPr="0071218C">
              <w:rPr>
                <w:rFonts w:eastAsia="Times New Roman"/>
                <w:color w:val="00B050"/>
                <w:highlight w:val="yellow"/>
              </w:rPr>
              <w:t>average</w:t>
            </w:r>
            <w:r w:rsidRPr="0071218C">
              <w:rPr>
                <w:rFonts w:eastAsia="Times New Roman"/>
                <w:color w:val="00B050"/>
              </w:rPr>
              <w:t xml:space="preserve"> </w:t>
            </w:r>
            <w:r>
              <w:rPr>
                <w:rFonts w:eastAsia="Times New Roman"/>
                <w:color w:val="000000"/>
              </w:rPr>
              <w:t xml:space="preserve">latency </w:t>
            </w:r>
            <w:r w:rsidRPr="00476B8B">
              <w:rPr>
                <w:rFonts w:eastAsia="Times New Roman"/>
                <w:strike/>
                <w:color w:val="FF0000"/>
              </w:rPr>
              <w:t>performance</w:t>
            </w:r>
            <w:r w:rsidRPr="00476B8B">
              <w:rPr>
                <w:rFonts w:eastAsia="Times New Roman"/>
                <w:color w:val="FF0000"/>
              </w:rPr>
              <w:t xml:space="preserve"> </w:t>
            </w:r>
            <w:r>
              <w:rPr>
                <w:rFonts w:eastAsia="Times New Roman"/>
                <w:color w:val="000000"/>
              </w:rPr>
              <w:t>is expected to be increased; Otherwise, BD reduction has no impact on the latency. </w:t>
            </w:r>
            <w:r>
              <w:rPr>
                <w:rFonts w:ascii="Times New Roman" w:eastAsia="Times New Roman" w:hAnsi="Times New Roman" w:cs="Times New Roman"/>
                <w:color w:val="000000"/>
                <w:sz w:val="20"/>
                <w:szCs w:val="20"/>
              </w:rPr>
              <w:t>”</w:t>
            </w:r>
          </w:p>
          <w:p w14:paraId="05836A17" w14:textId="77777777" w:rsidR="00583749" w:rsidRDefault="00583749" w:rsidP="00583749">
            <w:pPr>
              <w:pStyle w:val="ListParagraph"/>
              <w:numPr>
                <w:ilvl w:val="0"/>
                <w:numId w:val="38"/>
              </w:numPr>
              <w:spacing w:after="0" w:line="240" w:lineRule="auto"/>
              <w:contextualSpacing w:val="0"/>
              <w:jc w:val="both"/>
              <w:rPr>
                <w:rFonts w:ascii="Calibri" w:eastAsia="Times New Roman" w:hAnsi="Calibri" w:cs="Calibri"/>
                <w:color w:val="000000"/>
                <w:szCs w:val="22"/>
              </w:rPr>
            </w:pPr>
            <w:r>
              <w:rPr>
                <w:rFonts w:eastAsia="Times New Roman"/>
                <w:b/>
                <w:bCs/>
                <w:color w:val="000000"/>
              </w:rPr>
              <w:t>Section 9.1.5:</w:t>
            </w:r>
            <w:r>
              <w:rPr>
                <w:rFonts w:eastAsia="Times New Roman"/>
                <w:color w:val="000000"/>
              </w:rPr>
              <w:t xml:space="preserve"> “For other carrier frequencies or DL PSD </w:t>
            </w:r>
            <w:r>
              <w:rPr>
                <w:rFonts w:eastAsia="Times New Roman"/>
                <w:color w:val="000000"/>
                <w:highlight w:val="yellow"/>
              </w:rPr>
              <w:t>other than</w:t>
            </w:r>
            <w:r>
              <w:rPr>
                <w:rFonts w:eastAsia="Times New Roman"/>
                <w:color w:val="000000"/>
              </w:rPr>
              <w:t xml:space="preserve"> 24 dBm/MHz, coverage recovery is not needed for the downlink channels if the target for coverage recovery is based on the MIL of the bottleneck channel for the reference NR UE”</w:t>
            </w:r>
          </w:p>
          <w:p w14:paraId="0319B72B" w14:textId="6B206325" w:rsidR="00583749" w:rsidRPr="000F13C9" w:rsidRDefault="00583749" w:rsidP="009B4667">
            <w:pPr>
              <w:pStyle w:val="ListParagraph"/>
              <w:numPr>
                <w:ilvl w:val="1"/>
                <w:numId w:val="38"/>
              </w:numPr>
              <w:spacing w:after="0" w:line="240" w:lineRule="auto"/>
              <w:contextualSpacing w:val="0"/>
              <w:jc w:val="both"/>
              <w:rPr>
                <w:szCs w:val="22"/>
              </w:rPr>
            </w:pPr>
            <w:r>
              <w:rPr>
                <w:rFonts w:eastAsia="Times New Roman"/>
                <w:color w:val="000000"/>
              </w:rPr>
              <w:t>In the above, “</w:t>
            </w:r>
            <w:r w:rsidR="00C47D0B">
              <w:rPr>
                <w:rFonts w:eastAsia="Times New Roman"/>
                <w:color w:val="000000"/>
              </w:rPr>
              <w:t xml:space="preserve">DL PSD </w:t>
            </w:r>
            <w:r w:rsidR="00C47D0B" w:rsidRPr="00024D31">
              <w:rPr>
                <w:rFonts w:eastAsia="Times New Roman"/>
                <w:color w:val="000000"/>
                <w:highlight w:val="yellow"/>
              </w:rPr>
              <w:t>other than 24</w:t>
            </w:r>
            <w:r w:rsidR="00C47D0B">
              <w:rPr>
                <w:rFonts w:eastAsia="Times New Roman"/>
                <w:color w:val="000000"/>
              </w:rPr>
              <w:t xml:space="preserve"> dBm/MHz</w:t>
            </w:r>
            <w:r>
              <w:rPr>
                <w:rFonts w:eastAsia="Times New Roman"/>
                <w:color w:val="000000"/>
              </w:rPr>
              <w:t>” should perhaps be replaced by “</w:t>
            </w:r>
            <w:r w:rsidR="00C47D0B">
              <w:rPr>
                <w:rFonts w:eastAsia="Times New Roman"/>
                <w:color w:val="000000"/>
              </w:rPr>
              <w:t xml:space="preserve">DL PSD </w:t>
            </w:r>
            <w:r w:rsidR="00C47D0B" w:rsidRPr="00024D31">
              <w:rPr>
                <w:rFonts w:eastAsia="Times New Roman"/>
                <w:strike/>
                <w:color w:val="FF0000"/>
                <w:highlight w:val="yellow"/>
              </w:rPr>
              <w:t>other than</w:t>
            </w:r>
            <w:r w:rsidR="00024D31" w:rsidRPr="00024D31">
              <w:rPr>
                <w:rFonts w:eastAsia="Times New Roman"/>
                <w:strike/>
                <w:color w:val="FF0000"/>
                <w:highlight w:val="yellow"/>
              </w:rPr>
              <w:t xml:space="preserve"> </w:t>
            </w:r>
            <w:r w:rsidR="00C47D0B" w:rsidRPr="00024D31">
              <w:rPr>
                <w:rFonts w:eastAsia="Times New Roman"/>
                <w:strike/>
                <w:color w:val="FF0000"/>
                <w:highlight w:val="yellow"/>
              </w:rPr>
              <w:t>24</w:t>
            </w:r>
            <w:r w:rsidR="00024D31" w:rsidRPr="00024D31">
              <w:rPr>
                <w:rFonts w:eastAsia="Times New Roman"/>
                <w:strike/>
                <w:color w:val="FF0000"/>
              </w:rPr>
              <w:t xml:space="preserve"> </w:t>
            </w:r>
            <w:r w:rsidR="00024D31" w:rsidRPr="00024D31">
              <w:rPr>
                <w:rFonts w:eastAsia="Times New Roman"/>
                <w:b/>
                <w:bCs/>
                <w:color w:val="00B050"/>
              </w:rPr>
              <w:t>of</w:t>
            </w:r>
            <w:r w:rsidR="00024D31" w:rsidRPr="00024D31">
              <w:rPr>
                <w:rFonts w:eastAsia="Times New Roman"/>
                <w:color w:val="00B050"/>
              </w:rPr>
              <w:t xml:space="preserve"> </w:t>
            </w:r>
            <w:r w:rsidR="00024D31" w:rsidRPr="00024D31">
              <w:rPr>
                <w:rFonts w:eastAsia="Times New Roman"/>
                <w:b/>
                <w:bCs/>
                <w:color w:val="00B050"/>
              </w:rPr>
              <w:t>33</w:t>
            </w:r>
            <w:r w:rsidR="00C47D0B" w:rsidRPr="00024D31">
              <w:rPr>
                <w:rFonts w:eastAsia="Times New Roman"/>
                <w:color w:val="00B050"/>
              </w:rPr>
              <w:t xml:space="preserve"> </w:t>
            </w:r>
            <w:r w:rsidR="00C47D0B">
              <w:rPr>
                <w:rFonts w:eastAsia="Times New Roman"/>
                <w:color w:val="000000"/>
              </w:rPr>
              <w:t>dBm/MHz</w:t>
            </w:r>
            <w:r>
              <w:rPr>
                <w:rFonts w:eastAsia="Times New Roman"/>
                <w:color w:val="000000"/>
              </w:rPr>
              <w:t>”? While ”other than” may be clear to us since we only considered two values, the statement standing on its own could be misleading to the general reader</w:t>
            </w:r>
            <w:r w:rsidR="00F501B3">
              <w:rPr>
                <w:rFonts w:eastAsia="Times New Roman"/>
                <w:color w:val="000000"/>
              </w:rPr>
              <w:t>, especially if the observations are moved/copied to Section 12</w:t>
            </w:r>
            <w:r>
              <w:rPr>
                <w:rFonts w:eastAsia="Times New Roman"/>
                <w:color w:val="000000"/>
              </w:rPr>
              <w:t>.</w:t>
            </w:r>
          </w:p>
          <w:p w14:paraId="2150EFBD" w14:textId="66462FBF" w:rsidR="00583749" w:rsidRPr="00476B8B" w:rsidRDefault="00583749" w:rsidP="009B4667">
            <w:pPr>
              <w:spacing w:after="0"/>
              <w:jc w:val="both"/>
              <w:rPr>
                <w:rFonts w:eastAsia="Times New Roman"/>
                <w:sz w:val="22"/>
                <w:szCs w:val="22"/>
              </w:rPr>
            </w:pPr>
          </w:p>
        </w:tc>
      </w:tr>
      <w:tr w:rsidR="001E0A0D" w:rsidRPr="008E3AB5" w14:paraId="092ABFDB" w14:textId="77777777" w:rsidTr="00C371EC">
        <w:tc>
          <w:tcPr>
            <w:tcW w:w="1479" w:type="dxa"/>
          </w:tcPr>
          <w:p w14:paraId="1A20596B" w14:textId="17A39E79" w:rsidR="001E0A0D" w:rsidRPr="001E0A0D" w:rsidRDefault="001E0A0D" w:rsidP="009B4667">
            <w:pPr>
              <w:rPr>
                <w:rFonts w:eastAsia="DengXian"/>
                <w:lang w:val="en-US" w:eastAsia="zh-CN"/>
              </w:rPr>
            </w:pPr>
            <w:r>
              <w:rPr>
                <w:rFonts w:eastAsia="DengXian"/>
                <w:lang w:val="en-US" w:eastAsia="zh-CN"/>
              </w:rPr>
              <w:lastRenderedPageBreak/>
              <w:t>Vivo2</w:t>
            </w:r>
          </w:p>
        </w:tc>
        <w:tc>
          <w:tcPr>
            <w:tcW w:w="8155" w:type="dxa"/>
          </w:tcPr>
          <w:p w14:paraId="5CFE833F" w14:textId="02370537" w:rsidR="001E0A0D" w:rsidRPr="001E0A0D" w:rsidRDefault="001E0A0D" w:rsidP="009B4667">
            <w:pPr>
              <w:spacing w:after="0"/>
              <w:jc w:val="both"/>
            </w:pPr>
            <w:r>
              <w:t>For section “X</w:t>
            </w:r>
            <w:r w:rsidRPr="000E647A">
              <w:tab/>
            </w:r>
            <w:r>
              <w:t>Impact to network capacity and spectral efficiency”,  as heavily debated during the meeting, the main reason leading to different observation is that companies used different assumptions in their simulations. However, these differences are not highlighted in this section but o</w:t>
            </w:r>
            <w:r>
              <w:rPr>
                <w:rFonts w:eastAsia="DengXian"/>
                <w:sz w:val="22"/>
                <w:szCs w:val="22"/>
                <w:lang w:eastAsia="zh-CN"/>
              </w:rPr>
              <w:t xml:space="preserve">nly seen in each source’s contribution. Given this situation, it would be necessary to clearly refer to the source number or contribution number so that readers can further look into the contributions if they are interested to do so. </w:t>
            </w:r>
          </w:p>
          <w:p w14:paraId="4B92BFFD" w14:textId="77777777" w:rsidR="001E0A0D" w:rsidRDefault="001E0A0D" w:rsidP="009B4667">
            <w:pPr>
              <w:spacing w:after="0"/>
              <w:jc w:val="both"/>
              <w:rPr>
                <w:rFonts w:eastAsia="DengXian"/>
                <w:sz w:val="22"/>
                <w:szCs w:val="22"/>
                <w:lang w:eastAsia="zh-CN"/>
              </w:rPr>
            </w:pPr>
          </w:p>
          <w:p w14:paraId="57DC39A1" w14:textId="77777777" w:rsidR="001E0A0D" w:rsidRPr="004016EA" w:rsidRDefault="001E0A0D" w:rsidP="001E0A0D">
            <w:pPr>
              <w:jc w:val="both"/>
            </w:pPr>
            <w:r w:rsidRPr="004016EA">
              <w:t>For burst traffic evaluation with IM traffic model for RedCap users:</w:t>
            </w:r>
          </w:p>
          <w:p w14:paraId="369BC4D5" w14:textId="77777777" w:rsidR="001E0A0D" w:rsidRPr="0041214D" w:rsidRDefault="001E0A0D" w:rsidP="001E0A0D">
            <w:pPr>
              <w:pStyle w:val="ListParagraph"/>
              <w:numPr>
                <w:ilvl w:val="0"/>
                <w:numId w:val="39"/>
              </w:numPr>
              <w:spacing w:line="254" w:lineRule="auto"/>
              <w:jc w:val="both"/>
              <w:rPr>
                <w:sz w:val="20"/>
                <w:szCs w:val="22"/>
                <w:lang w:val="en-US"/>
              </w:rPr>
            </w:pPr>
            <w:r w:rsidRPr="001E0A0D">
              <w:rPr>
                <w:sz w:val="20"/>
                <w:szCs w:val="22"/>
                <w:highlight w:val="yellow"/>
                <w:lang w:val="en-US"/>
              </w:rPr>
              <w:t>3 sources</w:t>
            </w:r>
            <w:r w:rsidRPr="0041214D">
              <w:rPr>
                <w:sz w:val="20"/>
                <w:szCs w:val="22"/>
                <w:lang w:val="en-US"/>
              </w:rPr>
              <w:t xml:space="preserve"> observed that the RedCap users have minor or no impact on spectral efficiency and capacity, and little impact to the performance of co-existing eMBB users in the system</w:t>
            </w:r>
          </w:p>
          <w:p w14:paraId="10DAF613" w14:textId="77777777" w:rsidR="001E0A0D" w:rsidRPr="0041214D" w:rsidRDefault="001E0A0D" w:rsidP="001E0A0D">
            <w:pPr>
              <w:pStyle w:val="ListParagraph"/>
              <w:numPr>
                <w:ilvl w:val="0"/>
                <w:numId w:val="39"/>
              </w:numPr>
              <w:spacing w:line="254" w:lineRule="auto"/>
              <w:jc w:val="both"/>
              <w:rPr>
                <w:sz w:val="20"/>
                <w:szCs w:val="22"/>
                <w:lang w:val="en-US"/>
              </w:rPr>
            </w:pPr>
            <w:r w:rsidRPr="0041214D">
              <w:rPr>
                <w:sz w:val="20"/>
                <w:szCs w:val="22"/>
                <w:lang w:val="en-US"/>
              </w:rPr>
              <w:t>It is further noted that the 1 Rx RedCap users do not make an appreciable change on the user throughput performance of the eMBB users compared to the 2 Rx RedCap users</w:t>
            </w:r>
          </w:p>
          <w:p w14:paraId="3B1EF073" w14:textId="77777777" w:rsidR="001E0A0D" w:rsidRPr="00A757EA" w:rsidRDefault="001E0A0D" w:rsidP="001E0A0D">
            <w:pPr>
              <w:jc w:val="both"/>
              <w:rPr>
                <w:rFonts w:eastAsia="Calibri"/>
              </w:rPr>
            </w:pPr>
            <w:r w:rsidRPr="004016EA">
              <w:t xml:space="preserve">For burst traffic evaluation with FTP </w:t>
            </w:r>
            <w:r w:rsidRPr="00A757EA">
              <w:rPr>
                <w:rFonts w:eastAsia="Calibri"/>
              </w:rPr>
              <w:t>model 3 for RedCap users:</w:t>
            </w:r>
          </w:p>
          <w:p w14:paraId="2CFB3270" w14:textId="77777777" w:rsidR="001E0A0D" w:rsidRPr="0041214D" w:rsidRDefault="001E0A0D" w:rsidP="001E0A0D">
            <w:pPr>
              <w:pStyle w:val="ListParagraph"/>
              <w:numPr>
                <w:ilvl w:val="0"/>
                <w:numId w:val="39"/>
              </w:numPr>
              <w:spacing w:line="254" w:lineRule="auto"/>
              <w:jc w:val="both"/>
              <w:rPr>
                <w:sz w:val="20"/>
                <w:szCs w:val="22"/>
                <w:lang w:val="en-US"/>
              </w:rPr>
            </w:pPr>
            <w:r w:rsidRPr="001E0A0D">
              <w:rPr>
                <w:sz w:val="20"/>
                <w:szCs w:val="22"/>
                <w:highlight w:val="yellow"/>
                <w:lang w:val="en-US"/>
              </w:rPr>
              <w:t>One source</w:t>
            </w:r>
            <w:r w:rsidRPr="0041214D">
              <w:rPr>
                <w:sz w:val="20"/>
                <w:szCs w:val="22"/>
                <w:lang w:val="en-US"/>
              </w:rPr>
              <w:t xml:space="preserve"> with the respective simulation assumptions including the schedulable bandwidth reported the user throughput performance of the eMBB users is not degraded with the presence of the RedCap users in the system.</w:t>
            </w:r>
          </w:p>
          <w:p w14:paraId="3BCAB12E" w14:textId="77777777" w:rsidR="001E0A0D" w:rsidRPr="0041214D" w:rsidRDefault="001E0A0D" w:rsidP="001E0A0D">
            <w:pPr>
              <w:pStyle w:val="ListParagraph"/>
              <w:numPr>
                <w:ilvl w:val="0"/>
                <w:numId w:val="39"/>
              </w:numPr>
              <w:spacing w:line="254" w:lineRule="auto"/>
              <w:jc w:val="both"/>
              <w:rPr>
                <w:sz w:val="20"/>
                <w:szCs w:val="22"/>
                <w:lang w:val="en-US"/>
              </w:rPr>
            </w:pPr>
            <w:r w:rsidRPr="001E0A0D">
              <w:rPr>
                <w:sz w:val="20"/>
                <w:szCs w:val="22"/>
                <w:highlight w:val="yellow"/>
                <w:lang w:val="en-US"/>
              </w:rPr>
              <w:t>One source</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30% due to UE Rx antenna reduced from four to two and DL modulation order restriction from 256QAM to 64QAM in FR1 and about 50% spectral efficiency reduction due to UE Rx antenna reduced from four to one and DL modulation order restriction from 256QAM to 64QAM in FR1. </w:t>
            </w:r>
          </w:p>
          <w:p w14:paraId="69FBF7EB" w14:textId="77777777" w:rsidR="001E0A0D" w:rsidRPr="00A757EA" w:rsidRDefault="001E0A0D" w:rsidP="001E0A0D">
            <w:pPr>
              <w:jc w:val="both"/>
              <w:rPr>
                <w:rFonts w:eastAsia="Calibri"/>
              </w:rPr>
            </w:pPr>
            <w:r w:rsidRPr="004016EA">
              <w:t>For optional full buffer traffic</w:t>
            </w:r>
            <w:r w:rsidRPr="00511BAA">
              <w:t xml:space="preserve"> evaluation</w:t>
            </w:r>
            <w:r w:rsidRPr="00A757EA">
              <w:rPr>
                <w:rFonts w:eastAsia="Calibri"/>
              </w:rPr>
              <w:t>:</w:t>
            </w:r>
          </w:p>
          <w:p w14:paraId="0262D3C8" w14:textId="77777777" w:rsidR="001E0A0D" w:rsidRPr="0041214D" w:rsidRDefault="001E0A0D" w:rsidP="001E0A0D">
            <w:pPr>
              <w:pStyle w:val="ListParagraph"/>
              <w:numPr>
                <w:ilvl w:val="0"/>
                <w:numId w:val="39"/>
              </w:numPr>
              <w:spacing w:line="254" w:lineRule="auto"/>
              <w:jc w:val="both"/>
              <w:rPr>
                <w:sz w:val="20"/>
                <w:szCs w:val="22"/>
                <w:lang w:val="en-US"/>
              </w:rPr>
            </w:pPr>
            <w:r w:rsidRPr="001E0A0D">
              <w:rPr>
                <w:sz w:val="20"/>
                <w:szCs w:val="22"/>
                <w:highlight w:val="yellow"/>
                <w:lang w:val="en-US"/>
              </w:rPr>
              <w:t>One source</w:t>
            </w:r>
            <w:r w:rsidRPr="0041214D">
              <w:rPr>
                <w:sz w:val="20"/>
                <w:szCs w:val="22"/>
                <w:lang w:val="en-US"/>
              </w:rPr>
              <w:t xml:space="preserve"> with the respective simulation assumptions including the schedulable bandwidth reported a minor degradation of the spectral efficiency for the eMBB users and the degree of spectral efficiency loss is irrespective of the number of Rx antennas for RedCap users. </w:t>
            </w:r>
          </w:p>
          <w:p w14:paraId="66133024" w14:textId="47A6D4CF" w:rsidR="001E0A0D" w:rsidRPr="000F13C9" w:rsidRDefault="001E0A0D" w:rsidP="000F13C9">
            <w:pPr>
              <w:pStyle w:val="ListParagraph"/>
              <w:numPr>
                <w:ilvl w:val="0"/>
                <w:numId w:val="39"/>
              </w:numPr>
              <w:spacing w:line="254" w:lineRule="auto"/>
              <w:jc w:val="both"/>
              <w:rPr>
                <w:sz w:val="20"/>
                <w:szCs w:val="22"/>
                <w:lang w:val="en-US"/>
              </w:rPr>
            </w:pPr>
            <w:r w:rsidRPr="001E0A0D">
              <w:rPr>
                <w:sz w:val="20"/>
                <w:szCs w:val="22"/>
                <w:highlight w:val="yellow"/>
                <w:lang w:val="en-US"/>
              </w:rPr>
              <w:t>One source</w:t>
            </w:r>
            <w:r w:rsidRPr="0041214D">
              <w:rPr>
                <w:sz w:val="20"/>
                <w:szCs w:val="22"/>
                <w:lang w:val="en-US"/>
              </w:rPr>
              <w:t xml:space="preserve"> with the respective simulation assumptions including the schedulable bandwidth reported the impact on spectral efficiency will be substantial. It is further observed substantial cell spectral efficiency loss about 54% due to UE Rx antenna reduced from four to two and DL modulation order restriction from 256QAM to 64QAM in FR1 and about 70% spectral efficiency reduction due to UE Rx antenna reduced from four to one and DL modulation order restriction from 256QAM to 64QAM in FR1. </w:t>
            </w:r>
          </w:p>
        </w:tc>
      </w:tr>
      <w:tr w:rsidR="00C77E88" w:rsidRPr="008E3AB5" w14:paraId="6A3A7833" w14:textId="77777777" w:rsidTr="00C371EC">
        <w:tc>
          <w:tcPr>
            <w:tcW w:w="1479" w:type="dxa"/>
          </w:tcPr>
          <w:p w14:paraId="0C4305EA" w14:textId="5DD6A223" w:rsidR="00C77E88" w:rsidRDefault="00C77E88" w:rsidP="00C77E88">
            <w:pPr>
              <w:rPr>
                <w:rFonts w:eastAsia="DengXian"/>
                <w:lang w:val="en-US" w:eastAsia="zh-CN"/>
              </w:rPr>
            </w:pPr>
            <w:r>
              <w:rPr>
                <w:rFonts w:eastAsia="DengXian" w:hint="eastAsia"/>
                <w:lang w:val="en-US" w:eastAsia="zh-CN"/>
              </w:rPr>
              <w:t>H</w:t>
            </w:r>
            <w:r>
              <w:rPr>
                <w:rFonts w:eastAsia="DengXian"/>
                <w:lang w:val="en-US" w:eastAsia="zh-CN"/>
              </w:rPr>
              <w:t xml:space="preserve">uawei, </w:t>
            </w:r>
            <w:proofErr w:type="spellStart"/>
            <w:r>
              <w:rPr>
                <w:rFonts w:eastAsia="DengXian"/>
                <w:lang w:val="en-US" w:eastAsia="zh-CN"/>
              </w:rPr>
              <w:t>HiSi</w:t>
            </w:r>
            <w:proofErr w:type="spellEnd"/>
          </w:p>
        </w:tc>
        <w:tc>
          <w:tcPr>
            <w:tcW w:w="8155" w:type="dxa"/>
          </w:tcPr>
          <w:p w14:paraId="0E1709A3" w14:textId="77777777" w:rsidR="00C77E88" w:rsidRPr="000B10E4" w:rsidRDefault="00C77E88" w:rsidP="00C77E88">
            <w:pPr>
              <w:rPr>
                <w:rFonts w:eastAsia="DengXian"/>
                <w:b/>
                <w:lang w:val="en-US" w:eastAsia="zh-CN"/>
              </w:rPr>
            </w:pPr>
            <w:r w:rsidRPr="000B10E4">
              <w:rPr>
                <w:rFonts w:eastAsia="DengXian" w:hint="eastAsia"/>
                <w:b/>
                <w:lang w:val="en-US" w:eastAsia="zh-CN"/>
              </w:rPr>
              <w:t>G</w:t>
            </w:r>
            <w:r w:rsidRPr="000B10E4">
              <w:rPr>
                <w:rFonts w:eastAsia="DengXian"/>
                <w:b/>
                <w:lang w:val="en-US" w:eastAsia="zh-CN"/>
              </w:rPr>
              <w:t>eneral</w:t>
            </w:r>
            <w:r>
              <w:rPr>
                <w:rFonts w:eastAsia="DengXian"/>
                <w:b/>
                <w:lang w:val="en-US" w:eastAsia="zh-CN"/>
              </w:rPr>
              <w:t xml:space="preserve"> &amp; Methodology</w:t>
            </w:r>
          </w:p>
          <w:p w14:paraId="24D95B6D" w14:textId="77777777" w:rsidR="00C77E88" w:rsidRDefault="00C77E88" w:rsidP="00C77E88">
            <w:pPr>
              <w:pStyle w:val="ListParagraph"/>
              <w:numPr>
                <w:ilvl w:val="0"/>
                <w:numId w:val="40"/>
              </w:numPr>
              <w:rPr>
                <w:rFonts w:eastAsia="DengXian"/>
                <w:lang w:val="en-US" w:eastAsia="zh-CN"/>
              </w:rPr>
            </w:pPr>
            <w:r>
              <w:rPr>
                <w:szCs w:val="22"/>
              </w:rPr>
              <w:t xml:space="preserve">There are places using </w:t>
            </w:r>
            <w:r w:rsidRPr="00E53099">
              <w:rPr>
                <w:rFonts w:eastAsia="DengXian"/>
                <w:lang w:val="en-US" w:eastAsia="zh-CN"/>
              </w:rPr>
              <w:t>“</w:t>
            </w:r>
            <w:r w:rsidRPr="000E2A3D">
              <w:rPr>
                <w:szCs w:val="22"/>
              </w:rPr>
              <w:t>Red</w:t>
            </w:r>
            <w:r w:rsidRPr="00AA15EB">
              <w:rPr>
                <w:szCs w:val="22"/>
              </w:rPr>
              <w:t>c</w:t>
            </w:r>
            <w:r w:rsidRPr="000E2A3D">
              <w:rPr>
                <w:szCs w:val="22"/>
              </w:rPr>
              <w:t>ap</w:t>
            </w:r>
            <w:r w:rsidRPr="00E53099">
              <w:rPr>
                <w:rFonts w:eastAsia="DengXian"/>
                <w:lang w:val="en-US" w:eastAsia="zh-CN"/>
              </w:rPr>
              <w:t>”</w:t>
            </w:r>
            <w:r>
              <w:rPr>
                <w:rFonts w:eastAsia="DengXian"/>
                <w:lang w:val="en-US" w:eastAsia="zh-CN"/>
              </w:rPr>
              <w:t>, “</w:t>
            </w:r>
            <w:proofErr w:type="spellStart"/>
            <w:r>
              <w:rPr>
                <w:rFonts w:eastAsia="DengXian"/>
                <w:lang w:val="en-US" w:eastAsia="zh-CN"/>
              </w:rPr>
              <w:t>RefCap</w:t>
            </w:r>
            <w:proofErr w:type="spellEnd"/>
            <w:r>
              <w:rPr>
                <w:rFonts w:eastAsia="DengXian"/>
                <w:lang w:val="en-US" w:eastAsia="zh-CN"/>
              </w:rPr>
              <w:t xml:space="preserve">” in </w:t>
            </w:r>
            <w:r w:rsidRPr="00850149">
              <w:rPr>
                <w:rFonts w:eastAsia="DengXian"/>
                <w:lang w:val="en-US" w:eastAsia="zh-CN"/>
              </w:rPr>
              <w:t>Table C.4-5</w:t>
            </w:r>
            <w:r>
              <w:rPr>
                <w:rFonts w:eastAsia="DengXian"/>
                <w:lang w:val="en-US" w:eastAsia="zh-CN"/>
              </w:rPr>
              <w:t xml:space="preserve"> and “</w:t>
            </w:r>
            <w:proofErr w:type="spellStart"/>
            <w:r>
              <w:rPr>
                <w:rFonts w:eastAsia="DengXian"/>
                <w:lang w:val="en-US" w:eastAsia="zh-CN"/>
              </w:rPr>
              <w:t>ReCap</w:t>
            </w:r>
            <w:proofErr w:type="spellEnd"/>
            <w:r>
              <w:rPr>
                <w:rFonts w:eastAsia="DengXian"/>
                <w:lang w:val="en-US" w:eastAsia="zh-CN"/>
              </w:rPr>
              <w:t>” instead of “RedCap”</w:t>
            </w:r>
          </w:p>
          <w:p w14:paraId="41953AB1"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Consider to correct the indices of tables in sub-clause 6.2 where “</w:t>
            </w:r>
            <w:r w:rsidRPr="00850149">
              <w:rPr>
                <w:rFonts w:eastAsia="DengXian"/>
                <w:lang w:val="en-US" w:eastAsia="zh-CN"/>
              </w:rPr>
              <w:t>Table 6.2</w:t>
            </w:r>
            <w:r w:rsidRPr="00850149">
              <w:rPr>
                <w:rFonts w:eastAsia="DengXian"/>
                <w:color w:val="C00000"/>
                <w:lang w:val="en-US" w:eastAsia="zh-CN"/>
              </w:rPr>
              <w:t>.x</w:t>
            </w:r>
            <w:r w:rsidRPr="00850149">
              <w:rPr>
                <w:rFonts w:eastAsia="DengXian"/>
                <w:lang w:val="en-US" w:eastAsia="zh-CN"/>
              </w:rPr>
              <w:t>-</w:t>
            </w:r>
            <w:r>
              <w:rPr>
                <w:rFonts w:eastAsia="DengXian"/>
                <w:lang w:val="en-US" w:eastAsia="zh-CN"/>
              </w:rPr>
              <w:t xml:space="preserve">y” are used. However, this needs carefulness as they are also referred to in sub-clause of </w:t>
            </w:r>
            <w:r>
              <w:rPr>
                <w:rFonts w:eastAsia="DengXian"/>
                <w:lang w:val="en-US" w:eastAsia="zh-CN"/>
              </w:rPr>
              <w:lastRenderedPageBreak/>
              <w:t>8.2.3 and Annex B. Also, may consider to replace “Table 1” used in sub-clause 8.2.1 with “Table 8.2.1-1”. (Several other places for Table index have been commented by Docomo).</w:t>
            </w:r>
          </w:p>
          <w:p w14:paraId="14F966D4"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 xml:space="preserve">Good to remove FFS. </w:t>
            </w:r>
          </w:p>
          <w:p w14:paraId="3EEA9447" w14:textId="77777777" w:rsidR="00C77E88" w:rsidRPr="00AA0E68" w:rsidRDefault="00C77E88" w:rsidP="00C77E88">
            <w:pPr>
              <w:pStyle w:val="ListParagraph"/>
              <w:numPr>
                <w:ilvl w:val="0"/>
                <w:numId w:val="40"/>
              </w:numPr>
              <w:rPr>
                <w:rFonts w:eastAsia="DengXian"/>
                <w:lang w:val="en-US" w:eastAsia="zh-CN"/>
              </w:rPr>
            </w:pPr>
            <w:r>
              <w:rPr>
                <w:rFonts w:eastAsia="DengXian"/>
                <w:lang w:val="en-US" w:eastAsia="zh-CN"/>
              </w:rPr>
              <w:t>Strictly speaking, the content with [ ] should also be removed as it is not with consensus. However given the large amount of affected content (including many results based on assumptions with [ ]), FL might consider to add one general statement at the beginning of methodology/somewhere that the assumptions/results with [ ] may not be stable.</w:t>
            </w:r>
          </w:p>
          <w:p w14:paraId="71E147AF" w14:textId="77777777" w:rsidR="00C77E88" w:rsidRPr="000B10E4" w:rsidRDefault="00C77E88" w:rsidP="00C77E88">
            <w:pPr>
              <w:rPr>
                <w:rFonts w:eastAsia="DengXian"/>
                <w:b/>
                <w:lang w:val="en-US" w:eastAsia="zh-CN"/>
              </w:rPr>
            </w:pPr>
            <w:r w:rsidRPr="000B10E4">
              <w:rPr>
                <w:rFonts w:eastAsia="DengXian" w:hint="eastAsia"/>
                <w:b/>
                <w:lang w:val="en-US" w:eastAsia="zh-CN"/>
              </w:rPr>
              <w:t>C</w:t>
            </w:r>
            <w:r w:rsidRPr="000B10E4">
              <w:rPr>
                <w:rFonts w:eastAsia="DengXian"/>
                <w:b/>
                <w:lang w:val="en-US" w:eastAsia="zh-CN"/>
              </w:rPr>
              <w:t>ost/complexity reduction</w:t>
            </w:r>
          </w:p>
          <w:p w14:paraId="6A87F15E"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T</w:t>
            </w:r>
            <w:r w:rsidRPr="00E53099">
              <w:rPr>
                <w:rFonts w:eastAsia="DengXian"/>
                <w:lang w:val="en-US" w:eastAsia="zh-CN"/>
              </w:rPr>
              <w:t>here are places using “</w:t>
            </w:r>
            <w:r w:rsidRPr="006A57CC">
              <w:t>N</w:t>
            </w:r>
            <w:r w:rsidRPr="00E53099">
              <w:rPr>
                <w:color w:val="000000" w:themeColor="text1"/>
              </w:rPr>
              <w:t xml:space="preserve">1 </w:t>
            </w:r>
            <w:r>
              <w:t xml:space="preserve">and </w:t>
            </w:r>
            <w:r w:rsidRPr="006A57CC">
              <w:t>N</w:t>
            </w:r>
            <w:r w:rsidRPr="00E53099">
              <w:rPr>
                <w:vertAlign w:val="subscript"/>
              </w:rPr>
              <w:t>2</w:t>
            </w:r>
            <w:r w:rsidRPr="00E53099">
              <w:rPr>
                <w:rFonts w:eastAsia="DengXian"/>
                <w:lang w:val="en-US" w:eastAsia="zh-CN"/>
              </w:rPr>
              <w:t>”, “</w:t>
            </w:r>
            <w:r w:rsidRPr="006A57CC">
              <w:t>N</w:t>
            </w:r>
            <w:r w:rsidRPr="00E53099">
              <w:rPr>
                <w:color w:val="000000" w:themeColor="text1"/>
                <w:vertAlign w:val="subscript"/>
              </w:rPr>
              <w:t>1</w:t>
            </w:r>
            <w:r w:rsidRPr="00E53099">
              <w:rPr>
                <w:color w:val="000000" w:themeColor="text1"/>
              </w:rPr>
              <w:t xml:space="preserve"> </w:t>
            </w:r>
            <w:r>
              <w:t xml:space="preserve">and </w:t>
            </w:r>
            <w:r w:rsidRPr="006A57CC">
              <w:t>N</w:t>
            </w:r>
            <w:r w:rsidRPr="00E53099">
              <w:rPr>
                <w:vertAlign w:val="subscript"/>
              </w:rPr>
              <w:t>2</w:t>
            </w:r>
            <w:r w:rsidRPr="00E53099">
              <w:rPr>
                <w:rFonts w:eastAsia="DengXian"/>
                <w:lang w:val="en-US" w:eastAsia="zh-CN"/>
              </w:rPr>
              <w:t>”, “</w:t>
            </w:r>
            <w:r w:rsidRPr="00E53099">
              <w:rPr>
                <w:rFonts w:ascii="Times New Roman" w:hAnsi="Times New Roman"/>
                <w:bCs/>
                <w:sz w:val="20"/>
              </w:rPr>
              <w:t>N1/N2</w:t>
            </w:r>
            <w:r w:rsidRPr="00E53099">
              <w:rPr>
                <w:rFonts w:eastAsia="DengXian"/>
                <w:lang w:val="en-US" w:eastAsia="zh-CN"/>
              </w:rPr>
              <w:t>” and “</w:t>
            </w:r>
            <w:r w:rsidRPr="00E53099">
              <w:rPr>
                <w:sz w:val="20"/>
                <w:szCs w:val="20"/>
                <w:lang w:val="en-US"/>
              </w:rPr>
              <w:t>N1 and N2</w:t>
            </w:r>
            <w:r w:rsidRPr="00E53099">
              <w:rPr>
                <w:rFonts w:eastAsia="DengXian"/>
                <w:lang w:val="en-US" w:eastAsia="zh-CN"/>
              </w:rPr>
              <w:t>”. Can be aligned</w:t>
            </w:r>
            <w:r>
              <w:rPr>
                <w:rFonts w:eastAsia="DengXian"/>
                <w:lang w:val="en-US" w:eastAsia="zh-CN"/>
              </w:rPr>
              <w:t xml:space="preserve"> as </w:t>
            </w:r>
            <w:r w:rsidRPr="00E53099">
              <w:rPr>
                <w:rFonts w:eastAsia="DengXian"/>
                <w:lang w:val="en-US" w:eastAsia="zh-CN"/>
              </w:rPr>
              <w:t>“</w:t>
            </w:r>
            <w:r w:rsidRPr="006A57CC">
              <w:t>N</w:t>
            </w:r>
            <w:r w:rsidRPr="00E53099">
              <w:rPr>
                <w:color w:val="000000" w:themeColor="text1"/>
                <w:vertAlign w:val="subscript"/>
              </w:rPr>
              <w:t>1</w:t>
            </w:r>
            <w:r w:rsidRPr="00E53099">
              <w:rPr>
                <w:color w:val="000000" w:themeColor="text1"/>
              </w:rPr>
              <w:t xml:space="preserve"> </w:t>
            </w:r>
            <w:r>
              <w:t xml:space="preserve">and </w:t>
            </w:r>
            <w:r w:rsidRPr="006A57CC">
              <w:t>N</w:t>
            </w:r>
            <w:r w:rsidRPr="00E53099">
              <w:rPr>
                <w:vertAlign w:val="subscript"/>
              </w:rPr>
              <w:t>2</w:t>
            </w:r>
            <w:r w:rsidRPr="00E53099">
              <w:rPr>
                <w:rFonts w:eastAsia="DengXian"/>
                <w:lang w:val="en-US" w:eastAsia="zh-CN"/>
              </w:rPr>
              <w:t>”.</w:t>
            </w:r>
          </w:p>
          <w:p w14:paraId="7C439975" w14:textId="77777777" w:rsidR="00C77E88" w:rsidRPr="000B10E4" w:rsidRDefault="00C77E88" w:rsidP="00C77E88">
            <w:pPr>
              <w:pStyle w:val="ListParagraph"/>
              <w:numPr>
                <w:ilvl w:val="0"/>
                <w:numId w:val="40"/>
              </w:numPr>
              <w:rPr>
                <w:rFonts w:eastAsia="DengXian"/>
                <w:lang w:val="en-US" w:eastAsia="zh-CN"/>
              </w:rPr>
            </w:pPr>
            <w:r>
              <w:rPr>
                <w:rFonts w:eastAsia="DengXian" w:hint="eastAsia"/>
                <w:lang w:val="en-US" w:eastAsia="zh-CN"/>
              </w:rPr>
              <w:t>P</w:t>
            </w:r>
            <w:r>
              <w:rPr>
                <w:rFonts w:eastAsia="DengXian"/>
                <w:lang w:val="en-US" w:eastAsia="zh-CN"/>
              </w:rPr>
              <w:t>28: missing “of” in “</w:t>
            </w:r>
            <w:r w:rsidRPr="000A4AC6">
              <w:rPr>
                <w:rFonts w:ascii="Times New Roman" w:hAnsi="Times New Roman"/>
                <w:sz w:val="20"/>
              </w:rPr>
              <w:t xml:space="preserve">Relaxed UE processing time in terms </w:t>
            </w:r>
            <w:r w:rsidRPr="00E53099">
              <w:rPr>
                <w:rFonts w:ascii="Times New Roman" w:hAnsi="Times New Roman"/>
                <w:color w:val="C00000"/>
                <w:sz w:val="20"/>
                <w:u w:val="single"/>
              </w:rPr>
              <w:t>of</w:t>
            </w:r>
            <w:r w:rsidRPr="00E53099">
              <w:rPr>
                <w:rFonts w:ascii="Times New Roman" w:hAnsi="Times New Roman"/>
                <w:color w:val="C00000"/>
                <w:sz w:val="20"/>
              </w:rPr>
              <w:t xml:space="preserve"> </w:t>
            </w:r>
            <w:r w:rsidRPr="000A4AC6">
              <w:rPr>
                <w:rFonts w:ascii="Times New Roman" w:hAnsi="Times New Roman"/>
                <w:sz w:val="20"/>
              </w:rPr>
              <w:t>CSI computation time</w:t>
            </w:r>
            <w:r>
              <w:rPr>
                <w:rFonts w:eastAsia="DengXian"/>
                <w:lang w:val="en-US" w:eastAsia="zh-CN"/>
              </w:rPr>
              <w:t>”</w:t>
            </w:r>
          </w:p>
          <w:p w14:paraId="1C60A71F" w14:textId="77777777" w:rsidR="00C77E88" w:rsidRPr="00AA0E68" w:rsidRDefault="00C77E88" w:rsidP="00C77E88">
            <w:pPr>
              <w:rPr>
                <w:rFonts w:eastAsia="DengXian"/>
                <w:b/>
                <w:lang w:val="en-US" w:eastAsia="zh-CN"/>
              </w:rPr>
            </w:pPr>
            <w:r>
              <w:rPr>
                <w:rFonts w:eastAsia="DengXian"/>
                <w:b/>
                <w:lang w:val="en-US" w:eastAsia="zh-CN"/>
              </w:rPr>
              <w:t>PDCCH monitoring reduction</w:t>
            </w:r>
          </w:p>
          <w:p w14:paraId="42F82156" w14:textId="77777777" w:rsidR="00C77E88" w:rsidRDefault="00C77E88" w:rsidP="00C77E88">
            <w:pPr>
              <w:pStyle w:val="ListParagraph"/>
              <w:numPr>
                <w:ilvl w:val="0"/>
                <w:numId w:val="40"/>
              </w:numPr>
              <w:spacing w:before="240"/>
              <w:rPr>
                <w:rFonts w:eastAsia="DengXian"/>
                <w:lang w:val="en-US" w:eastAsia="zh-CN"/>
              </w:rPr>
            </w:pPr>
            <w:r>
              <w:rPr>
                <w:rFonts w:eastAsia="DengXian"/>
                <w:lang w:val="en-US" w:eastAsia="zh-CN"/>
              </w:rPr>
              <w:t xml:space="preserve">P43, the following captured results are not the one in the agreements. </w:t>
            </w:r>
          </w:p>
          <w:p w14:paraId="4423A840" w14:textId="77777777" w:rsidR="00C77E88" w:rsidRPr="00196395" w:rsidRDefault="00C77E88" w:rsidP="00C77E88">
            <w:pPr>
              <w:pStyle w:val="ListParagraph"/>
              <w:numPr>
                <w:ilvl w:val="1"/>
                <w:numId w:val="41"/>
              </w:numPr>
              <w:spacing w:before="120" w:line="240" w:lineRule="auto"/>
              <w:ind w:left="360" w:firstLine="0"/>
              <w:rPr>
                <w:rFonts w:ascii="Times New Roman" w:hAnsi="Times New Roman" w:cs="Times New Roman"/>
                <w:i/>
                <w:color w:val="000000" w:themeColor="text1"/>
                <w:sz w:val="20"/>
                <w:szCs w:val="20"/>
                <w:lang w:val="en-US"/>
              </w:rPr>
            </w:pPr>
            <w:r w:rsidRPr="00196395">
              <w:rPr>
                <w:rFonts w:ascii="Times New Roman" w:hAnsi="Times New Roman" w:cs="Times New Roman"/>
                <w:i/>
                <w:color w:val="000000" w:themeColor="text1"/>
                <w:sz w:val="20"/>
                <w:szCs w:val="20"/>
                <w:lang w:val="en-US"/>
              </w:rPr>
              <w:t>1 source (Samsung) reported the following evaluation results:</w:t>
            </w:r>
          </w:p>
          <w:p w14:paraId="26FA6815" w14:textId="77777777" w:rsidR="00C77E88" w:rsidRPr="00196395" w:rsidRDefault="00C77E88" w:rsidP="00C77E88">
            <w:pPr>
              <w:pStyle w:val="ListParagraph"/>
              <w:numPr>
                <w:ilvl w:val="2"/>
                <w:numId w:val="41"/>
              </w:numPr>
              <w:spacing w:before="120" w:line="240" w:lineRule="auto"/>
              <w:rPr>
                <w:rFonts w:ascii="Times New Roman" w:hAnsi="Times New Roman" w:cs="Times New Roman"/>
                <w:i/>
                <w:color w:val="000000" w:themeColor="text1"/>
                <w:sz w:val="20"/>
                <w:szCs w:val="20"/>
              </w:rPr>
            </w:pPr>
            <w:r w:rsidRPr="00196395">
              <w:rPr>
                <w:rFonts w:ascii="Times New Roman" w:hAnsi="Times New Roman" w:cs="Times New Roman"/>
                <w:i/>
                <w:sz w:val="20"/>
                <w:szCs w:val="20"/>
              </w:rPr>
              <w:t xml:space="preserve">&lt;2, 0.07%, [25%, 2.07%, 3100%], [50%, 4.93%, 7400%]&gt; </w:t>
            </w:r>
          </w:p>
          <w:p w14:paraId="6F77B662" w14:textId="77777777" w:rsidR="00C77E88" w:rsidRDefault="00C77E88" w:rsidP="00C77E88">
            <w:pPr>
              <w:ind w:leftChars="200" w:left="400"/>
              <w:rPr>
                <w:rFonts w:ascii="Arial" w:eastAsia="Yu Mincho" w:hAnsi="Arial"/>
                <w:b/>
                <w:bCs/>
                <w:color w:val="000000" w:themeColor="text1"/>
                <w:lang w:eastAsia="ja-JP"/>
              </w:rPr>
            </w:pPr>
            <w:r>
              <w:rPr>
                <w:rFonts w:eastAsia="DengXian"/>
                <w:lang w:val="en-US" w:eastAsia="zh-CN"/>
              </w:rPr>
              <w:t xml:space="preserve">According to </w:t>
            </w:r>
            <w:r w:rsidRPr="004E798B">
              <w:rPr>
                <w:rFonts w:ascii="Arial" w:hAnsi="Arial" w:cs="Arial"/>
                <w:b/>
                <w:bCs/>
                <w:color w:val="000000" w:themeColor="text1"/>
                <w:highlight w:val="cyan"/>
              </w:rPr>
              <w:t>Proposal 8.2.3.1-</w:t>
            </w:r>
            <w:r>
              <w:rPr>
                <w:rFonts w:ascii="Arial" w:hAnsi="Arial" w:cs="Arial"/>
                <w:b/>
                <w:bCs/>
                <w:color w:val="000000" w:themeColor="text1"/>
                <w:highlight w:val="cyan"/>
              </w:rPr>
              <w:t>16</w:t>
            </w:r>
            <w:r>
              <w:rPr>
                <w:rFonts w:ascii="Arial" w:eastAsia="SimSun" w:hAnsi="Arial"/>
                <w:b/>
                <w:bCs/>
                <w:color w:val="000000" w:themeColor="text1"/>
                <w:lang w:eastAsia="ja-JP"/>
              </w:rPr>
              <w:t xml:space="preserve"> in R1-2009720, the captured results should be</w:t>
            </w:r>
            <w:r>
              <w:rPr>
                <w:rFonts w:ascii="Arial" w:eastAsia="SimSun" w:hAnsi="Arial" w:hint="eastAsia"/>
                <w:b/>
                <w:bCs/>
                <w:color w:val="000000" w:themeColor="text1"/>
                <w:lang w:eastAsia="zh-CN"/>
              </w:rPr>
              <w:t>：</w:t>
            </w:r>
          </w:p>
          <w:p w14:paraId="5E9CB5C0" w14:textId="77777777" w:rsidR="00C77E88" w:rsidRPr="00196395" w:rsidRDefault="00C77E88" w:rsidP="00C77E88">
            <w:pPr>
              <w:pStyle w:val="ListParagraph"/>
              <w:numPr>
                <w:ilvl w:val="1"/>
                <w:numId w:val="41"/>
              </w:numPr>
              <w:spacing w:before="120" w:line="240" w:lineRule="auto"/>
              <w:ind w:left="720"/>
              <w:rPr>
                <w:rFonts w:ascii="Arial" w:hAnsi="Arial" w:cs="Arial"/>
                <w:i/>
                <w:color w:val="000000" w:themeColor="text1"/>
                <w:sz w:val="20"/>
                <w:szCs w:val="20"/>
              </w:rPr>
            </w:pPr>
            <w:r w:rsidRPr="00196395">
              <w:rPr>
                <w:rFonts w:ascii="Arial" w:hAnsi="Arial" w:cs="Arial"/>
                <w:i/>
                <w:color w:val="000000" w:themeColor="text1"/>
                <w:sz w:val="20"/>
                <w:szCs w:val="20"/>
              </w:rPr>
              <w:t>1 source (</w:t>
            </w:r>
            <w:r w:rsidRPr="00196395">
              <w:rPr>
                <w:rFonts w:ascii="Arial" w:hAnsi="Arial" w:cs="Arial"/>
                <w:i/>
                <w:sz w:val="20"/>
                <w:szCs w:val="20"/>
              </w:rPr>
              <w:t xml:space="preserve">[Samsung]) reported the following evaluation results: </w:t>
            </w:r>
          </w:p>
          <w:p w14:paraId="3CF5732C" w14:textId="77777777" w:rsidR="00C77E88" w:rsidRPr="00196395" w:rsidRDefault="00C77E88" w:rsidP="00C77E88">
            <w:pPr>
              <w:pStyle w:val="ListParagraph"/>
              <w:numPr>
                <w:ilvl w:val="2"/>
                <w:numId w:val="41"/>
              </w:numPr>
              <w:spacing w:before="120" w:line="240" w:lineRule="auto"/>
              <w:rPr>
                <w:rFonts w:ascii="Arial" w:hAnsi="Arial" w:cs="Arial"/>
                <w:i/>
                <w:color w:val="000000" w:themeColor="text1"/>
                <w:sz w:val="20"/>
                <w:szCs w:val="20"/>
              </w:rPr>
            </w:pPr>
            <w:r w:rsidRPr="00196395">
              <w:rPr>
                <w:rFonts w:ascii="Arial" w:hAnsi="Arial" w:cs="Arial"/>
                <w:i/>
                <w:sz w:val="20"/>
                <w:szCs w:val="20"/>
              </w:rPr>
              <w:t xml:space="preserve">&lt;9, 22%, [25%, 20%, 91%], [50%, 33%, 150%]&gt; </w:t>
            </w:r>
          </w:p>
          <w:p w14:paraId="2F503275" w14:textId="77777777" w:rsidR="00C77E88" w:rsidRPr="00196395" w:rsidRDefault="00C77E88" w:rsidP="00C77E88">
            <w:pPr>
              <w:pStyle w:val="ListParagraph"/>
              <w:numPr>
                <w:ilvl w:val="0"/>
                <w:numId w:val="40"/>
              </w:numPr>
              <w:spacing w:before="240"/>
              <w:rPr>
                <w:rFonts w:eastAsia="Yu Mincho"/>
                <w:lang w:val="en-US" w:eastAsia="zh-CN"/>
              </w:rPr>
            </w:pPr>
            <w:r>
              <w:rPr>
                <w:rFonts w:eastAsia="DengXian" w:hint="eastAsia"/>
                <w:lang w:val="en-US" w:eastAsia="zh-CN"/>
              </w:rPr>
              <w:t>P</w:t>
            </w:r>
            <w:r>
              <w:rPr>
                <w:rFonts w:eastAsia="DengXian"/>
                <w:lang w:val="en-US" w:eastAsia="zh-CN"/>
              </w:rPr>
              <w:t xml:space="preserve">13, in Table 6.2.2-1, regarding the following note1, there is no “Tab-7” defined in the TR. This should be updated accordingly. </w:t>
            </w:r>
          </w:p>
          <w:p w14:paraId="32AC7351" w14:textId="77777777" w:rsidR="00C77E88" w:rsidRDefault="00C77E88" w:rsidP="00C77E88">
            <w:pPr>
              <w:ind w:leftChars="400" w:left="800"/>
              <w:rPr>
                <w:i/>
                <w:color w:val="000000"/>
                <w:sz w:val="18"/>
                <w:szCs w:val="18"/>
              </w:rPr>
            </w:pPr>
            <w:r w:rsidRPr="00196395">
              <w:rPr>
                <w:i/>
                <w:color w:val="000000"/>
                <w:sz w:val="18"/>
                <w:szCs w:val="18"/>
              </w:rPr>
              <w:t>Note 1: “Number of users” represents the number of UEs that need to be scheduled simultaneously in a slot and company can provide PDCCH blocking probabilities corresponding to a range of ‘number of users’ on different rows in Tab-7</w:t>
            </w:r>
          </w:p>
          <w:p w14:paraId="1CD0C8D7" w14:textId="77777777" w:rsidR="00C77E88" w:rsidRPr="009B140E" w:rsidRDefault="00C77E88" w:rsidP="00C77E88">
            <w:pPr>
              <w:pStyle w:val="ListParagraph"/>
              <w:numPr>
                <w:ilvl w:val="0"/>
                <w:numId w:val="40"/>
              </w:numPr>
              <w:spacing w:before="240"/>
              <w:rPr>
                <w:i/>
                <w:color w:val="000000"/>
                <w:sz w:val="18"/>
                <w:szCs w:val="18"/>
              </w:rPr>
            </w:pPr>
            <w:r w:rsidRPr="009B140E">
              <w:rPr>
                <w:rFonts w:eastAsia="DengXian" w:hint="eastAsia"/>
                <w:lang w:val="en-US" w:eastAsia="zh-CN"/>
              </w:rPr>
              <w:t>P</w:t>
            </w:r>
            <w:r w:rsidRPr="009B140E">
              <w:rPr>
                <w:rFonts w:eastAsia="DengXian"/>
                <w:lang w:val="en-US" w:eastAsia="zh-CN"/>
              </w:rPr>
              <w:t xml:space="preserve">71, for Annex B, the description of Case1 and Case 2 seem to be copied from that of power saving gain. The three cases should be updated as following, which are captured </w:t>
            </w:r>
            <w:r>
              <w:rPr>
                <w:rFonts w:eastAsia="DengXian"/>
                <w:lang w:val="en-US" w:eastAsia="zh-CN"/>
              </w:rPr>
              <w:t xml:space="preserve">in the text following table 9 </w:t>
            </w:r>
            <w:r w:rsidRPr="009B140E">
              <w:rPr>
                <w:rFonts w:eastAsia="DengXian"/>
                <w:lang w:val="en-US" w:eastAsia="zh-CN"/>
              </w:rPr>
              <w:t>in FL (</w:t>
            </w:r>
            <w:r>
              <w:rPr>
                <w:rFonts w:ascii="Arial" w:hAnsi="Arial"/>
                <w:b/>
                <w:bCs/>
                <w:color w:val="000000" w:themeColor="text1"/>
              </w:rPr>
              <w:t>R1-2009720</w:t>
            </w:r>
            <w:r w:rsidRPr="009B140E">
              <w:rPr>
                <w:rFonts w:eastAsia="DengXian"/>
                <w:lang w:val="en-US" w:eastAsia="zh-CN"/>
              </w:rPr>
              <w:t>)</w:t>
            </w:r>
            <w:r>
              <w:rPr>
                <w:rFonts w:eastAsia="DengXian"/>
                <w:lang w:val="en-US" w:eastAsia="zh-CN"/>
              </w:rPr>
              <w:t>:</w:t>
            </w:r>
          </w:p>
          <w:p w14:paraId="10B58E7D" w14:textId="77777777" w:rsidR="00C77E88" w:rsidRPr="009B140E" w:rsidRDefault="00C77E88" w:rsidP="00C77E88">
            <w:pPr>
              <w:pStyle w:val="ListParagraph"/>
              <w:spacing w:before="240"/>
              <w:ind w:left="420"/>
              <w:rPr>
                <w:i/>
                <w:color w:val="000000"/>
                <w:sz w:val="18"/>
                <w:szCs w:val="18"/>
              </w:rPr>
            </w:pPr>
          </w:p>
          <w:p w14:paraId="20281599" w14:textId="77777777" w:rsidR="00C77E88" w:rsidRPr="009B140E" w:rsidRDefault="00C77E88" w:rsidP="00C77E88">
            <w:pPr>
              <w:pStyle w:val="ListParagraph"/>
              <w:numPr>
                <w:ilvl w:val="0"/>
                <w:numId w:val="42"/>
              </w:numPr>
              <w:spacing w:before="180" w:after="160" w:line="259" w:lineRule="auto"/>
              <w:rPr>
                <w:rFonts w:ascii="Arial" w:hAnsi="Arial" w:cs="Arial"/>
                <w:i/>
                <w:sz w:val="20"/>
                <w:szCs w:val="20"/>
              </w:rPr>
            </w:pPr>
            <w:r w:rsidRPr="009B140E">
              <w:rPr>
                <w:rFonts w:ascii="Arial" w:hAnsi="Arial" w:cs="Arial"/>
                <w:i/>
                <w:sz w:val="20"/>
                <w:szCs w:val="20"/>
              </w:rPr>
              <w:t xml:space="preserve">Case 1: Reference case with no reduction in BD limit. </w:t>
            </w:r>
          </w:p>
          <w:p w14:paraId="3CD14D4C" w14:textId="77777777" w:rsidR="00C77E88" w:rsidRPr="009B140E" w:rsidRDefault="00C77E88" w:rsidP="00C77E88">
            <w:pPr>
              <w:pStyle w:val="ListParagraph"/>
              <w:numPr>
                <w:ilvl w:val="0"/>
                <w:numId w:val="42"/>
              </w:numPr>
              <w:spacing w:before="180" w:after="160" w:line="259" w:lineRule="auto"/>
              <w:rPr>
                <w:rFonts w:ascii="Arial" w:hAnsi="Arial" w:cs="Arial"/>
                <w:i/>
                <w:sz w:val="20"/>
                <w:szCs w:val="20"/>
              </w:rPr>
            </w:pPr>
            <w:r w:rsidRPr="009B140E">
              <w:rPr>
                <w:rFonts w:ascii="Arial" w:hAnsi="Arial" w:cs="Arial"/>
                <w:i/>
                <w:sz w:val="20"/>
                <w:szCs w:val="20"/>
              </w:rPr>
              <w:t xml:space="preserve">Case 2: Approximately 25% reduction in BD limit. </w:t>
            </w:r>
          </w:p>
          <w:p w14:paraId="45598940" w14:textId="7516A2FC" w:rsidR="00C77E88" w:rsidRPr="000F13C9" w:rsidRDefault="00C77E88" w:rsidP="00C77E88">
            <w:pPr>
              <w:pStyle w:val="ListParagraph"/>
              <w:numPr>
                <w:ilvl w:val="0"/>
                <w:numId w:val="42"/>
              </w:numPr>
              <w:spacing w:before="180" w:after="160" w:line="259" w:lineRule="auto"/>
              <w:rPr>
                <w:rFonts w:ascii="Arial" w:hAnsi="Arial" w:cs="Arial"/>
                <w:i/>
                <w:sz w:val="20"/>
                <w:szCs w:val="20"/>
              </w:rPr>
            </w:pPr>
            <w:r w:rsidRPr="009B140E">
              <w:rPr>
                <w:rFonts w:ascii="Arial" w:hAnsi="Arial" w:cs="Arial"/>
                <w:i/>
                <w:sz w:val="20"/>
                <w:szCs w:val="20"/>
              </w:rPr>
              <w:t xml:space="preserve">Case 3: Approximately 50% reduction in BD limit. </w:t>
            </w:r>
          </w:p>
          <w:p w14:paraId="16F33C50" w14:textId="77777777" w:rsidR="00C77E88" w:rsidRPr="00AA0E68" w:rsidRDefault="00C77E88" w:rsidP="00C77E88">
            <w:pPr>
              <w:rPr>
                <w:rFonts w:eastAsia="DengXian"/>
                <w:b/>
                <w:lang w:val="en-US" w:eastAsia="zh-CN"/>
              </w:rPr>
            </w:pPr>
            <w:r w:rsidRPr="00AA0E68">
              <w:rPr>
                <w:rFonts w:eastAsia="DengXian" w:hint="eastAsia"/>
                <w:b/>
                <w:lang w:val="en-US" w:eastAsia="zh-CN"/>
              </w:rPr>
              <w:t>C</w:t>
            </w:r>
            <w:r w:rsidRPr="00AA0E68">
              <w:rPr>
                <w:rFonts w:eastAsia="DengXian"/>
                <w:b/>
                <w:lang w:val="en-US" w:eastAsia="zh-CN"/>
              </w:rPr>
              <w:t>overage recovery</w:t>
            </w:r>
            <w:r>
              <w:rPr>
                <w:rFonts w:eastAsia="DengXian"/>
                <w:b/>
                <w:lang w:val="en-US" w:eastAsia="zh-CN"/>
              </w:rPr>
              <w:t xml:space="preserve"> &amp; Capacity</w:t>
            </w:r>
          </w:p>
          <w:p w14:paraId="0C5D774C" w14:textId="77777777" w:rsidR="00C77E88" w:rsidRDefault="00C77E88" w:rsidP="00C77E88">
            <w:pPr>
              <w:pStyle w:val="ListParagraph"/>
              <w:numPr>
                <w:ilvl w:val="0"/>
                <w:numId w:val="40"/>
              </w:numPr>
              <w:rPr>
                <w:rFonts w:eastAsia="DengXian"/>
                <w:lang w:val="en-US" w:eastAsia="zh-CN"/>
              </w:rPr>
            </w:pPr>
            <w:r>
              <w:rPr>
                <w:rFonts w:eastAsia="DengXian" w:hint="eastAsia"/>
                <w:lang w:val="en-US" w:eastAsia="zh-CN"/>
              </w:rPr>
              <w:t>C</w:t>
            </w:r>
            <w:r>
              <w:rPr>
                <w:rFonts w:eastAsia="DengXian"/>
                <w:lang w:val="en-US" w:eastAsia="zh-CN"/>
              </w:rPr>
              <w:t>hange the “conclusion” to “observation” from the following:</w:t>
            </w:r>
          </w:p>
          <w:p w14:paraId="78B654DB" w14:textId="77777777" w:rsidR="00C77E88" w:rsidRPr="00774E3B" w:rsidRDefault="00C77E88" w:rsidP="00C77E88">
            <w:pPr>
              <w:pStyle w:val="ListParagraph"/>
              <w:numPr>
                <w:ilvl w:val="1"/>
                <w:numId w:val="28"/>
              </w:numPr>
              <w:tabs>
                <w:tab w:val="clear" w:pos="1440"/>
              </w:tabs>
              <w:rPr>
                <w:rFonts w:eastAsia="DengXian"/>
                <w:i/>
                <w:lang w:val="en-US" w:eastAsia="zh-CN"/>
              </w:rPr>
            </w:pPr>
            <w:r>
              <w:rPr>
                <w:rFonts w:eastAsia="DengXian"/>
                <w:lang w:val="en-US" w:eastAsia="zh-CN"/>
              </w:rPr>
              <w:t xml:space="preserve">P54, </w:t>
            </w:r>
            <w:r w:rsidRPr="00774E3B">
              <w:rPr>
                <w:rFonts w:eastAsia="DengXian"/>
                <w:lang w:val="en-US" w:eastAsia="zh-CN"/>
              </w:rPr>
              <w:t xml:space="preserve">clause </w:t>
            </w:r>
            <w:r>
              <w:rPr>
                <w:rFonts w:eastAsia="DengXian"/>
                <w:lang w:val="en-US" w:eastAsia="zh-CN"/>
              </w:rPr>
              <w:t xml:space="preserve">9.1.5: </w:t>
            </w:r>
            <w:r>
              <w:rPr>
                <w:i/>
              </w:rPr>
              <w:t>i</w:t>
            </w:r>
            <w:r w:rsidRPr="00774E3B">
              <w:rPr>
                <w:i/>
              </w:rPr>
              <w:t xml:space="preserve">n summary, based on the evaluation results, the following </w:t>
            </w:r>
            <w:r w:rsidRPr="00774E3B">
              <w:rPr>
                <w:i/>
                <w:u w:val="single"/>
              </w:rPr>
              <w:t>conclusion</w:t>
            </w:r>
            <w:r w:rsidRPr="00774E3B">
              <w:rPr>
                <w:i/>
              </w:rPr>
              <w:t xml:space="preserve"> can be made</w:t>
            </w:r>
          </w:p>
          <w:p w14:paraId="05E242E2" w14:textId="77777777" w:rsidR="00C77E88" w:rsidRPr="00774E3B" w:rsidRDefault="00C77E88" w:rsidP="00C77E88">
            <w:pPr>
              <w:pStyle w:val="ListParagraph"/>
              <w:numPr>
                <w:ilvl w:val="1"/>
                <w:numId w:val="28"/>
              </w:numPr>
              <w:tabs>
                <w:tab w:val="clear" w:pos="1440"/>
              </w:tabs>
              <w:rPr>
                <w:rFonts w:eastAsia="DengXian"/>
                <w:i/>
                <w:lang w:val="en-US" w:eastAsia="zh-CN"/>
              </w:rPr>
            </w:pPr>
            <w:r w:rsidRPr="00774E3B">
              <w:rPr>
                <w:rFonts w:eastAsia="DengXian" w:hint="eastAsia"/>
                <w:lang w:val="en-US" w:eastAsia="zh-CN"/>
              </w:rPr>
              <w:t>P</w:t>
            </w:r>
            <w:r w:rsidRPr="00774E3B">
              <w:rPr>
                <w:rFonts w:eastAsia="DengXian"/>
                <w:lang w:val="en-US" w:eastAsia="zh-CN"/>
              </w:rPr>
              <w:t xml:space="preserve">63, clause 12: </w:t>
            </w:r>
            <w:r w:rsidRPr="00774E3B">
              <w:rPr>
                <w:i/>
              </w:rPr>
              <w:t xml:space="preserve">The main </w:t>
            </w:r>
            <w:r w:rsidRPr="00774E3B">
              <w:rPr>
                <w:i/>
                <w:u w:val="single"/>
              </w:rPr>
              <w:t>conclusions</w:t>
            </w:r>
            <w:r w:rsidRPr="00774E3B">
              <w:rPr>
                <w:i/>
              </w:rPr>
              <w:t xml:space="preserve"> from the coverage recovery evaluations are captured in clause 9.1.5.</w:t>
            </w:r>
          </w:p>
          <w:p w14:paraId="542C8C2D"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 xml:space="preserve">Any reason to use clause “X” for impact of capacity and SE? Might be possible to replace the clause “X” as “10” (thus needs update on the texts afterwards) or move “X” to be clause “12” such that only the current clause 12 needs update to be clause 13 (in order to minimize the workload). Can accept no change if it causes too much workload for rapporteur but then prefer some response for reasoning. </w:t>
            </w:r>
          </w:p>
          <w:p w14:paraId="4C0A7D67"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In Table-D-1, for source 2 (Huawei), take the following updates</w:t>
            </w:r>
          </w:p>
          <w:p w14:paraId="4979B734" w14:textId="77777777" w:rsidR="00C77E88" w:rsidRPr="00B7433F" w:rsidRDefault="00C77E88" w:rsidP="00C77E88">
            <w:pPr>
              <w:pStyle w:val="ListParagraph"/>
              <w:numPr>
                <w:ilvl w:val="1"/>
                <w:numId w:val="40"/>
              </w:numPr>
              <w:rPr>
                <w:rFonts w:eastAsia="DengXian"/>
                <w:i/>
                <w:lang w:val="en-US" w:eastAsia="zh-CN"/>
              </w:rPr>
            </w:pPr>
            <w:r w:rsidRPr="00B7433F">
              <w:rPr>
                <w:rFonts w:eastAsia="DengXian"/>
                <w:i/>
                <w:lang w:val="en-US" w:eastAsia="zh-CN"/>
              </w:rPr>
              <w:t xml:space="preserve">FTP model 3 for both eMBB and RedCap UEs. </w:t>
            </w:r>
            <w:r w:rsidRPr="00B7433F">
              <w:rPr>
                <w:rFonts w:eastAsia="DengXian"/>
                <w:i/>
                <w:color w:val="FF0000"/>
                <w:lang w:val="en-US" w:eastAsia="zh-CN"/>
              </w:rPr>
              <w:t xml:space="preserve">In each 20MHz frequency block within 100MHz bandwidth, </w:t>
            </w:r>
            <w:proofErr w:type="spellStart"/>
            <w:r w:rsidRPr="00B7433F">
              <w:rPr>
                <w:rFonts w:eastAsia="DengXian"/>
                <w:i/>
                <w:color w:val="FF0000"/>
                <w:lang w:val="en-US" w:eastAsia="zh-CN"/>
              </w:rPr>
              <w:t>p</w:t>
            </w:r>
            <w:r w:rsidRPr="00B7433F">
              <w:rPr>
                <w:rFonts w:eastAsia="DengXian"/>
                <w:i/>
                <w:strike/>
                <w:color w:val="FF0000"/>
                <w:lang w:val="en-US" w:eastAsia="zh-CN"/>
              </w:rPr>
              <w:t>P</w:t>
            </w:r>
            <w:r w:rsidRPr="00B7433F">
              <w:rPr>
                <w:rFonts w:eastAsia="DengXian"/>
                <w:i/>
                <w:lang w:val="en-US" w:eastAsia="zh-CN"/>
              </w:rPr>
              <w:t>acket</w:t>
            </w:r>
            <w:proofErr w:type="spellEnd"/>
            <w:r w:rsidRPr="00B7433F">
              <w:rPr>
                <w:rFonts w:eastAsia="DengXian"/>
                <w:i/>
                <w:lang w:val="en-US" w:eastAsia="zh-CN"/>
              </w:rPr>
              <w:t xml:space="preserve"> packet size is 0.125 Mbytes for DL and 0.05 MB for UL and mean inter-arrival time is 200 </w:t>
            </w:r>
            <w:proofErr w:type="spellStart"/>
            <w:r w:rsidRPr="00B7433F">
              <w:rPr>
                <w:rFonts w:eastAsia="DengXian"/>
                <w:i/>
                <w:lang w:val="en-US" w:eastAsia="zh-CN"/>
              </w:rPr>
              <w:t>ms.</w:t>
            </w:r>
            <w:proofErr w:type="spellEnd"/>
          </w:p>
          <w:p w14:paraId="5D76171D" w14:textId="77777777" w:rsidR="00C77E88" w:rsidRDefault="00C77E88" w:rsidP="00C77E88">
            <w:pPr>
              <w:pStyle w:val="ListParagraph"/>
              <w:numPr>
                <w:ilvl w:val="1"/>
                <w:numId w:val="40"/>
              </w:numPr>
              <w:rPr>
                <w:rFonts w:eastAsia="DengXian"/>
                <w:i/>
                <w:lang w:val="en-US" w:eastAsia="zh-CN"/>
              </w:rPr>
            </w:pPr>
            <w:r w:rsidRPr="00B7433F">
              <w:rPr>
                <w:rFonts w:eastAsia="DengXian"/>
                <w:i/>
                <w:color w:val="FF0000"/>
                <w:lang w:val="en-US" w:eastAsia="zh-CN"/>
              </w:rPr>
              <w:t xml:space="preserve">100MHz system bandwidth comprises five frequency blocks of 20MHz. </w:t>
            </w:r>
            <w:r w:rsidRPr="00B7433F">
              <w:rPr>
                <w:rFonts w:eastAsia="DengXian"/>
                <w:i/>
                <w:strike/>
                <w:color w:val="FF0000"/>
                <w:lang w:val="en-US" w:eastAsia="zh-CN"/>
              </w:rPr>
              <w:t xml:space="preserve">Max </w:t>
            </w:r>
            <w:r w:rsidRPr="00B7433F">
              <w:rPr>
                <w:rFonts w:eastAsia="DengXian"/>
                <w:i/>
                <w:strike/>
                <w:color w:val="FF0000"/>
                <w:lang w:val="en-US" w:eastAsia="zh-CN"/>
              </w:rPr>
              <w:lastRenderedPageBreak/>
              <w:t xml:space="preserve">20MHz </w:t>
            </w:r>
            <w:r w:rsidRPr="00B7433F">
              <w:rPr>
                <w:rFonts w:eastAsia="DengXian"/>
                <w:i/>
                <w:color w:val="FF0000"/>
                <w:lang w:val="en-US" w:eastAsia="zh-CN"/>
              </w:rPr>
              <w:t xml:space="preserve">Scheduled within one frequency block </w:t>
            </w:r>
            <w:r w:rsidRPr="00B7433F">
              <w:rPr>
                <w:rFonts w:eastAsia="DengXian"/>
                <w:i/>
                <w:lang w:val="en-US" w:eastAsia="zh-CN"/>
              </w:rPr>
              <w:t>for both eMBB UE and RedCap UE</w:t>
            </w:r>
          </w:p>
          <w:p w14:paraId="1661897B" w14:textId="77777777" w:rsidR="00C77E88" w:rsidRPr="00D363C9" w:rsidRDefault="00C77E88" w:rsidP="00C77E88">
            <w:pPr>
              <w:pStyle w:val="ListParagraph"/>
              <w:numPr>
                <w:ilvl w:val="1"/>
                <w:numId w:val="40"/>
              </w:numPr>
              <w:rPr>
                <w:rFonts w:eastAsia="DengXian"/>
                <w:lang w:val="en-US" w:eastAsia="zh-CN"/>
              </w:rPr>
            </w:pPr>
            <w:r w:rsidRPr="00D363C9">
              <w:rPr>
                <w:rFonts w:eastAsia="DengXian"/>
                <w:lang w:val="en-US" w:eastAsia="zh-CN"/>
              </w:rPr>
              <w:t xml:space="preserve">Add a column for key assumption max number of DL layer that </w:t>
            </w:r>
            <w:r>
              <w:rPr>
                <w:rFonts w:eastAsia="DengXian"/>
                <w:lang w:val="en-US" w:eastAsia="zh-CN"/>
              </w:rPr>
              <w:t xml:space="preserve">have key impact on DL capacity/SE and </w:t>
            </w:r>
            <w:r w:rsidRPr="00D363C9">
              <w:rPr>
                <w:rFonts w:eastAsia="DengXian"/>
                <w:lang w:val="en-US" w:eastAsia="zh-CN"/>
              </w:rPr>
              <w:t>have been discussed during template discussion, i.e. add column with title of Max Scheduled number of DL layers, add “2@2Rx, 1@1Rx” for source 2.</w:t>
            </w:r>
          </w:p>
          <w:p w14:paraId="36E3F446"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In Table-D-1, for source 6 (Nokia), suggest the following updates</w:t>
            </w:r>
          </w:p>
          <w:p w14:paraId="621EEAEF" w14:textId="77777777" w:rsidR="00C77E88" w:rsidRDefault="00C77E88" w:rsidP="00C77E88">
            <w:pPr>
              <w:pStyle w:val="ListParagraph"/>
              <w:numPr>
                <w:ilvl w:val="1"/>
                <w:numId w:val="40"/>
              </w:numPr>
              <w:rPr>
                <w:rFonts w:eastAsia="DengXian"/>
                <w:i/>
                <w:lang w:val="en-US" w:eastAsia="zh-CN"/>
              </w:rPr>
            </w:pPr>
            <w:r w:rsidRPr="00B7433F">
              <w:rPr>
                <w:rFonts w:eastAsia="DengXian"/>
                <w:i/>
                <w:lang w:val="en-US" w:eastAsia="zh-CN"/>
              </w:rPr>
              <w:t>FTP model 3 for both eMBB and RedCap UEs (</w:t>
            </w:r>
            <w:r w:rsidRPr="00B7433F">
              <w:rPr>
                <w:rFonts w:eastAsia="DengXian"/>
                <w:i/>
                <w:color w:val="FF0000"/>
                <w:lang w:val="en-US" w:eastAsia="zh-CN"/>
              </w:rPr>
              <w:t xml:space="preserve">Packet size and packet arrival rate adapt to </w:t>
            </w:r>
            <w:r>
              <w:rPr>
                <w:rFonts w:eastAsia="DengXian"/>
                <w:i/>
                <w:color w:val="FF0000"/>
                <w:lang w:val="en-US" w:eastAsia="zh-CN"/>
              </w:rPr>
              <w:t xml:space="preserve">target </w:t>
            </w:r>
            <w:r w:rsidRPr="00B7433F">
              <w:rPr>
                <w:rFonts w:eastAsia="DengXian"/>
                <w:i/>
                <w:color w:val="FF0000"/>
                <w:lang w:val="en-US" w:eastAsia="zh-CN"/>
              </w:rPr>
              <w:t>RU</w:t>
            </w:r>
            <w:r w:rsidRPr="00B7433F">
              <w:rPr>
                <w:rFonts w:eastAsia="DengXian"/>
                <w:i/>
                <w:lang w:val="en-US" w:eastAsia="zh-CN"/>
              </w:rPr>
              <w:t>)</w:t>
            </w:r>
            <w:r>
              <w:rPr>
                <w:rFonts w:eastAsia="DengXian"/>
                <w:i/>
                <w:lang w:val="en-US" w:eastAsia="zh-CN"/>
              </w:rPr>
              <w:t xml:space="preserve">. </w:t>
            </w:r>
            <w:r w:rsidRPr="00B7433F">
              <w:rPr>
                <w:rFonts w:eastAsia="DengXian"/>
                <w:lang w:val="en-US" w:eastAsia="zh-CN"/>
              </w:rPr>
              <w:t>Or please Nokia clarifies the key assumption</w:t>
            </w:r>
            <w:r>
              <w:rPr>
                <w:rFonts w:eastAsia="DengXian"/>
                <w:i/>
                <w:lang w:val="en-US" w:eastAsia="zh-CN"/>
              </w:rPr>
              <w:t>.</w:t>
            </w:r>
          </w:p>
          <w:p w14:paraId="7BF8BFBE" w14:textId="2DB38E0E" w:rsidR="00C77E88" w:rsidRPr="000F13C9" w:rsidRDefault="00C77E88" w:rsidP="00C77E88">
            <w:pPr>
              <w:pStyle w:val="ListParagraph"/>
              <w:numPr>
                <w:ilvl w:val="1"/>
                <w:numId w:val="40"/>
              </w:numPr>
              <w:rPr>
                <w:rFonts w:eastAsia="DengXian"/>
                <w:i/>
                <w:lang w:val="en-US" w:eastAsia="zh-CN"/>
              </w:rPr>
            </w:pPr>
            <w:r w:rsidRPr="00B7433F">
              <w:rPr>
                <w:rFonts w:eastAsia="DengXian"/>
                <w:i/>
                <w:lang w:val="en-US" w:eastAsia="zh-CN"/>
              </w:rPr>
              <w:t>Total number of UEs per cell is 10 (</w:t>
            </w:r>
            <w:r w:rsidRPr="00B7433F">
              <w:rPr>
                <w:rFonts w:eastAsia="DengXian"/>
                <w:i/>
                <w:color w:val="FF0000"/>
                <w:lang w:val="en-US" w:eastAsia="zh-CN"/>
              </w:rPr>
              <w:t>Neither Option 1 nor Option 2</w:t>
            </w:r>
            <w:r w:rsidRPr="00B7433F">
              <w:rPr>
                <w:rFonts w:eastAsia="DengXian"/>
                <w:i/>
                <w:lang w:val="en-US" w:eastAsia="zh-CN"/>
              </w:rPr>
              <w:t>)</w:t>
            </w:r>
            <w:r>
              <w:rPr>
                <w:rFonts w:eastAsia="DengXian"/>
                <w:i/>
                <w:lang w:val="en-US" w:eastAsia="zh-CN"/>
              </w:rPr>
              <w:t>.</w:t>
            </w:r>
            <w:r w:rsidRPr="00B7433F">
              <w:rPr>
                <w:rFonts w:eastAsia="DengXian"/>
                <w:lang w:val="en-US" w:eastAsia="zh-CN"/>
              </w:rPr>
              <w:t>Please make it clearer or please Nokia clarifies the key assumption.</w:t>
            </w:r>
          </w:p>
          <w:p w14:paraId="10E0CE98" w14:textId="77777777" w:rsidR="00C77E88" w:rsidRPr="00AA0E68" w:rsidRDefault="00C77E88" w:rsidP="00C77E88">
            <w:pPr>
              <w:rPr>
                <w:rFonts w:eastAsia="DengXian"/>
                <w:b/>
                <w:lang w:val="en-US" w:eastAsia="zh-CN"/>
              </w:rPr>
            </w:pPr>
            <w:r w:rsidRPr="00AA0E68">
              <w:rPr>
                <w:rFonts w:eastAsia="DengXian" w:hint="eastAsia"/>
                <w:b/>
                <w:lang w:val="en-US" w:eastAsia="zh-CN"/>
              </w:rPr>
              <w:t>U</w:t>
            </w:r>
            <w:r w:rsidRPr="00AA0E68">
              <w:rPr>
                <w:rFonts w:eastAsia="DengXian"/>
                <w:b/>
                <w:lang w:val="en-US" w:eastAsia="zh-CN"/>
              </w:rPr>
              <w:t>E Type and UE identifications</w:t>
            </w:r>
          </w:p>
          <w:p w14:paraId="1B62465B" w14:textId="77777777" w:rsidR="00C77E88" w:rsidRDefault="00C77E88" w:rsidP="00C77E88">
            <w:pPr>
              <w:pStyle w:val="ListParagraph"/>
              <w:numPr>
                <w:ilvl w:val="0"/>
                <w:numId w:val="40"/>
              </w:numPr>
              <w:rPr>
                <w:rFonts w:eastAsia="DengXian"/>
                <w:lang w:val="en-US" w:eastAsia="zh-CN"/>
              </w:rPr>
            </w:pPr>
            <w:r>
              <w:rPr>
                <w:rFonts w:eastAsia="DengXian"/>
                <w:lang w:val="en-US" w:eastAsia="zh-CN"/>
              </w:rPr>
              <w:t>Ok with removing empty (sub-)clauses e.g. 10.1.2 ~. There does not seem to be further input to those sections anymore.</w:t>
            </w:r>
          </w:p>
          <w:p w14:paraId="2431E02F" w14:textId="77777777" w:rsidR="00C77E88" w:rsidRDefault="00C77E88" w:rsidP="00C77E88">
            <w:pPr>
              <w:pStyle w:val="ListParagraph"/>
              <w:numPr>
                <w:ilvl w:val="0"/>
                <w:numId w:val="40"/>
              </w:numPr>
              <w:spacing w:before="240"/>
              <w:rPr>
                <w:rFonts w:eastAsia="DengXian"/>
                <w:lang w:val="en-US" w:eastAsia="zh-CN"/>
              </w:rPr>
            </w:pPr>
            <w:r>
              <w:rPr>
                <w:rFonts w:eastAsia="DengXian"/>
                <w:lang w:val="en-US" w:eastAsia="zh-CN"/>
              </w:rPr>
              <w:t>Can consider to move the conclusive information of the following to clause 12: conclusion:</w:t>
            </w:r>
          </w:p>
          <w:p w14:paraId="28723DB9" w14:textId="77777777" w:rsidR="00C77E88" w:rsidRPr="00AA15EB" w:rsidRDefault="00C77E88" w:rsidP="00C77E88">
            <w:pPr>
              <w:pStyle w:val="ListParagraph"/>
              <w:numPr>
                <w:ilvl w:val="1"/>
                <w:numId w:val="28"/>
              </w:numPr>
              <w:tabs>
                <w:tab w:val="clear" w:pos="1440"/>
              </w:tabs>
              <w:jc w:val="both"/>
              <w:rPr>
                <w:i/>
              </w:rPr>
            </w:pPr>
            <w:r w:rsidRPr="00AA15EB">
              <w:rPr>
                <w:i/>
              </w:rPr>
              <w:t>At least for RedCap UE identification, explicit definition of RedCap UE type(s) is needed. If early identification during initial access is supported, at least maximum supported UE bandwidth during initial access (20 MHz for FR1 and 100 MHz for FR2) is included in the set of L1 capabilities of the device type for RedCap early identification.</w:t>
            </w:r>
          </w:p>
          <w:p w14:paraId="02469E7B" w14:textId="34C227F4" w:rsidR="00C77E88" w:rsidRPr="000F13C9" w:rsidRDefault="00C77E88" w:rsidP="000F13C9">
            <w:pPr>
              <w:pStyle w:val="ListParagraph"/>
              <w:numPr>
                <w:ilvl w:val="0"/>
                <w:numId w:val="40"/>
              </w:numPr>
              <w:spacing w:before="240"/>
              <w:rPr>
                <w:rFonts w:eastAsia="DengXian"/>
                <w:lang w:val="en-GB" w:eastAsia="zh-CN"/>
              </w:rPr>
            </w:pPr>
            <w:r>
              <w:rPr>
                <w:rFonts w:eastAsia="DengXian"/>
                <w:lang w:val="en-GB" w:eastAsia="zh-CN"/>
              </w:rPr>
              <w:t>Not a strong preference, for the tables for pros and cons analysis for each option of RedCap UE identification, it might be ok to move them to a new sub-clause such as “</w:t>
            </w:r>
            <w:r>
              <w:t xml:space="preserve">11.1.2 </w:t>
            </w:r>
            <w:r>
              <w:rPr>
                <w:rFonts w:eastAsia="DengXian"/>
                <w:lang w:val="en-GB" w:eastAsia="zh-CN"/>
              </w:rPr>
              <w:t xml:space="preserve">Analysis of benefits, impact and/or coexistence with legacy UEs” thus the current empty (sub-) clauses </w:t>
            </w:r>
            <w:r>
              <w:t xml:space="preserve">11.1.2~ </w:t>
            </w:r>
            <w:r>
              <w:rPr>
                <w:rFonts w:eastAsia="DengXian"/>
                <w:lang w:val="en-GB" w:eastAsia="zh-CN"/>
              </w:rPr>
              <w:t xml:space="preserve">can be removed. </w:t>
            </w:r>
          </w:p>
        </w:tc>
      </w:tr>
      <w:tr w:rsidR="00D25EEB" w:rsidRPr="008E3AB5" w14:paraId="0B77C84E" w14:textId="77777777" w:rsidTr="00C371EC">
        <w:tc>
          <w:tcPr>
            <w:tcW w:w="1479" w:type="dxa"/>
          </w:tcPr>
          <w:p w14:paraId="1C2B0DCE" w14:textId="23106824" w:rsidR="00D25EEB" w:rsidRDefault="00D25EEB" w:rsidP="00C77E88">
            <w:pPr>
              <w:rPr>
                <w:rFonts w:eastAsia="DengXian"/>
                <w:lang w:val="en-US" w:eastAsia="zh-CN"/>
              </w:rPr>
            </w:pPr>
            <w:r>
              <w:rPr>
                <w:rFonts w:eastAsia="DengXian"/>
                <w:lang w:val="en-US" w:eastAsia="zh-CN"/>
              </w:rPr>
              <w:lastRenderedPageBreak/>
              <w:t>SONY</w:t>
            </w:r>
          </w:p>
        </w:tc>
        <w:tc>
          <w:tcPr>
            <w:tcW w:w="8155" w:type="dxa"/>
          </w:tcPr>
          <w:p w14:paraId="5E3FD56E" w14:textId="77777777" w:rsidR="00D25EEB" w:rsidRDefault="00D25EEB" w:rsidP="00C77E88">
            <w:pPr>
              <w:rPr>
                <w:rFonts w:eastAsia="DengXian"/>
                <w:bCs/>
                <w:lang w:val="en-US" w:eastAsia="zh-CN"/>
              </w:rPr>
            </w:pPr>
            <w:r>
              <w:rPr>
                <w:rFonts w:eastAsia="DengXian"/>
                <w:bCs/>
                <w:lang w:val="en-US" w:eastAsia="zh-CN"/>
              </w:rPr>
              <w:t>Agree with the comment from Intel on section 8.2.3 about “average latency”.</w:t>
            </w:r>
          </w:p>
          <w:p w14:paraId="33679F7B" w14:textId="77777777" w:rsidR="00D25EEB" w:rsidRDefault="00D25EEB" w:rsidP="00C77E88">
            <w:pPr>
              <w:rPr>
                <w:rFonts w:eastAsia="DengXian"/>
                <w:bCs/>
                <w:lang w:val="en-US" w:eastAsia="zh-CN"/>
              </w:rPr>
            </w:pPr>
            <w:r>
              <w:rPr>
                <w:rFonts w:eastAsia="DengXian"/>
                <w:bCs/>
                <w:lang w:val="en-US" w:eastAsia="zh-CN"/>
              </w:rPr>
              <w:t>The agreements / conclusions from Vivo seem to be interim and we think that they should not be included in the TR.</w:t>
            </w:r>
          </w:p>
          <w:p w14:paraId="029DE065" w14:textId="77777777" w:rsidR="00D25EEB" w:rsidRDefault="00D25EEB" w:rsidP="00C77E88">
            <w:pPr>
              <w:rPr>
                <w:rFonts w:eastAsia="DengXian"/>
                <w:bCs/>
                <w:lang w:val="en-US" w:eastAsia="zh-CN"/>
              </w:rPr>
            </w:pPr>
            <w:r>
              <w:rPr>
                <w:rFonts w:eastAsia="DengXian"/>
                <w:bCs/>
                <w:lang w:val="en-US" w:eastAsia="zh-CN"/>
              </w:rPr>
              <w:t xml:space="preserve">Regarding the CATT comment 7 on coverage recovery conclusions, we think that the conclusions in section 9.1.5 should not be moved to (and not be copied to) section 12. The section 9.1.5 conclusions seem to relate to the coverage performance analysis rather than to coverage recovery analysis as a whole. Our preference would have been for there to be an overall conclusion on coverage recovery in section 12 (“coverage was </w:t>
            </w:r>
            <w:proofErr w:type="spellStart"/>
            <w:r>
              <w:rPr>
                <w:rFonts w:eastAsia="DengXian"/>
                <w:bCs/>
                <w:lang w:val="en-US" w:eastAsia="zh-CN"/>
              </w:rPr>
              <w:t>analysed</w:t>
            </w:r>
            <w:proofErr w:type="spellEnd"/>
            <w:r>
              <w:rPr>
                <w:rFonts w:eastAsia="DengXian"/>
                <w:bCs/>
                <w:lang w:val="en-US" w:eastAsia="zh-CN"/>
              </w:rPr>
              <w:t xml:space="preserve"> and it was found that channel XXX required coverage recovery of YY dB and technique ZZ is proposed </w:t>
            </w:r>
            <w:r w:rsidR="00172BAA">
              <w:rPr>
                <w:rFonts w:eastAsia="DengXian"/>
                <w:bCs/>
                <w:lang w:val="en-US" w:eastAsia="zh-CN"/>
              </w:rPr>
              <w:t xml:space="preserve">to </w:t>
            </w:r>
            <w:r>
              <w:rPr>
                <w:rFonts w:eastAsia="DengXian"/>
                <w:bCs/>
                <w:lang w:val="en-US" w:eastAsia="zh-CN"/>
              </w:rPr>
              <w:t>recover the coverage”</w:t>
            </w:r>
            <w:r w:rsidR="00172BAA">
              <w:rPr>
                <w:rFonts w:eastAsia="DengXian"/>
                <w:bCs/>
                <w:lang w:val="en-US" w:eastAsia="zh-CN"/>
              </w:rPr>
              <w:t>), however we didn’t agree to that sort of text for section 12, so it would seem to be difficult to agree on this now.</w:t>
            </w:r>
          </w:p>
          <w:p w14:paraId="3ABD4E76" w14:textId="10F4381D" w:rsidR="00172BAA" w:rsidRPr="00D25EEB" w:rsidRDefault="00172BAA" w:rsidP="00C77E88">
            <w:pPr>
              <w:rPr>
                <w:rFonts w:eastAsia="DengXian"/>
                <w:bCs/>
                <w:lang w:val="en-US" w:eastAsia="zh-CN"/>
              </w:rPr>
            </w:pPr>
            <w:r>
              <w:rPr>
                <w:rFonts w:eastAsia="DengXian"/>
                <w:bCs/>
                <w:lang w:val="en-US" w:eastAsia="zh-CN"/>
              </w:rPr>
              <w:t>Thanks to the rapporteur for bringing to TR together and to all the companies for their detailed suggested updates above!</w:t>
            </w:r>
          </w:p>
        </w:tc>
      </w:tr>
      <w:tr w:rsidR="00BB612D" w:rsidRPr="008E3AB5" w14:paraId="0FCFF8DF" w14:textId="77777777" w:rsidTr="00C371EC">
        <w:tc>
          <w:tcPr>
            <w:tcW w:w="1479" w:type="dxa"/>
          </w:tcPr>
          <w:p w14:paraId="56939775" w14:textId="7A8A7D51" w:rsidR="00BB612D" w:rsidRDefault="00BB612D" w:rsidP="00BB612D">
            <w:pPr>
              <w:rPr>
                <w:rFonts w:eastAsia="DengXian"/>
                <w:lang w:val="en-US" w:eastAsia="zh-CN"/>
              </w:rPr>
            </w:pPr>
            <w:r>
              <w:rPr>
                <w:rFonts w:eastAsia="DengXian"/>
                <w:lang w:val="en-US" w:eastAsia="zh-CN"/>
              </w:rPr>
              <w:t>Nokia, NSB</w:t>
            </w:r>
          </w:p>
        </w:tc>
        <w:tc>
          <w:tcPr>
            <w:tcW w:w="8155" w:type="dxa"/>
          </w:tcPr>
          <w:p w14:paraId="2DF680A4" w14:textId="69269425" w:rsidR="00BB612D" w:rsidRPr="00670140" w:rsidRDefault="00BB612D" w:rsidP="00BB612D">
            <w:pPr>
              <w:rPr>
                <w:rFonts w:eastAsia="DengXian"/>
                <w:bCs/>
                <w:lang w:val="en-US" w:eastAsia="zh-CN"/>
              </w:rPr>
            </w:pPr>
            <w:r>
              <w:rPr>
                <w:rFonts w:eastAsia="DengXian"/>
                <w:bCs/>
                <w:lang w:val="en-US" w:eastAsia="zh-CN"/>
              </w:rPr>
              <w:t>With respect to Huawei’s question</w:t>
            </w:r>
            <w:r w:rsidR="007670B1">
              <w:rPr>
                <w:rFonts w:eastAsia="DengXian"/>
                <w:bCs/>
                <w:lang w:val="en-US" w:eastAsia="zh-CN"/>
              </w:rPr>
              <w:t xml:space="preserve"> on our simulations</w:t>
            </w:r>
            <w:r>
              <w:rPr>
                <w:rFonts w:eastAsia="DengXian"/>
                <w:bCs/>
                <w:lang w:val="en-US" w:eastAsia="zh-CN"/>
              </w:rPr>
              <w:t>, our clarifications on Table D-1 are below –</w:t>
            </w:r>
          </w:p>
          <w:p w14:paraId="64B1E2ED" w14:textId="77777777" w:rsidR="00BB612D" w:rsidRDefault="00BB612D" w:rsidP="00BB612D">
            <w:pPr>
              <w:pStyle w:val="ListParagraph"/>
              <w:numPr>
                <w:ilvl w:val="1"/>
                <w:numId w:val="40"/>
              </w:numPr>
              <w:rPr>
                <w:rFonts w:eastAsia="DengXian"/>
                <w:i/>
                <w:lang w:val="en-US" w:eastAsia="zh-CN"/>
              </w:rPr>
            </w:pPr>
            <w:r w:rsidRPr="00B7433F">
              <w:rPr>
                <w:rFonts w:eastAsia="DengXian"/>
                <w:i/>
                <w:lang w:val="en-US" w:eastAsia="zh-CN"/>
              </w:rPr>
              <w:t xml:space="preserve">FTP model 3 for both eMBB and RedCap UEs </w:t>
            </w:r>
            <w:r w:rsidRPr="00670140">
              <w:rPr>
                <w:rFonts w:eastAsia="DengXian"/>
                <w:i/>
                <w:color w:val="FF0000"/>
                <w:lang w:val="en-US" w:eastAsia="zh-CN"/>
              </w:rPr>
              <w:t>(Packet size is fixed and packet arrival rate adapted to target RU)</w:t>
            </w:r>
            <w:r>
              <w:rPr>
                <w:rFonts w:eastAsia="DengXian"/>
                <w:i/>
                <w:lang w:val="en-US" w:eastAsia="zh-CN"/>
              </w:rPr>
              <w:t xml:space="preserve">. </w:t>
            </w:r>
          </w:p>
          <w:p w14:paraId="175B85A7" w14:textId="77777777" w:rsidR="00BB612D" w:rsidRPr="00670140" w:rsidRDefault="00BB612D" w:rsidP="00BB612D">
            <w:pPr>
              <w:pStyle w:val="ListParagraph"/>
              <w:numPr>
                <w:ilvl w:val="1"/>
                <w:numId w:val="40"/>
              </w:numPr>
              <w:rPr>
                <w:rFonts w:eastAsia="DengXian"/>
                <w:i/>
                <w:lang w:val="en-US" w:eastAsia="zh-CN"/>
              </w:rPr>
            </w:pPr>
            <w:r w:rsidRPr="00670140">
              <w:rPr>
                <w:rFonts w:eastAsia="DengXian"/>
                <w:i/>
                <w:strike/>
                <w:lang w:val="en-US" w:eastAsia="zh-CN"/>
              </w:rPr>
              <w:t>Total number of UEs per cell is 10.</w:t>
            </w:r>
            <w:r>
              <w:rPr>
                <w:rFonts w:eastAsia="DengXian"/>
                <w:i/>
                <w:lang w:val="en-US" w:eastAsia="zh-CN"/>
              </w:rPr>
              <w:t xml:space="preserve"> </w:t>
            </w:r>
            <w:r w:rsidRPr="00670140">
              <w:rPr>
                <w:rFonts w:eastAsia="DengXian"/>
                <w:i/>
                <w:color w:val="FF0000"/>
                <w:lang w:val="en-US" w:eastAsia="zh-CN"/>
              </w:rPr>
              <w:t>Option 2 with an average of 10 UEs per cell including both RedCap and reference NR UEs. The number of RedCap UEs in the entire system is based on the agreed percentages.</w:t>
            </w:r>
          </w:p>
          <w:p w14:paraId="77263519" w14:textId="2D230C32" w:rsidR="00BB612D" w:rsidRDefault="00BB612D" w:rsidP="00BB612D">
            <w:pPr>
              <w:rPr>
                <w:rFonts w:eastAsia="DengXian"/>
                <w:bCs/>
                <w:lang w:val="en-US" w:eastAsia="zh-CN"/>
              </w:rPr>
            </w:pPr>
            <w:r>
              <w:rPr>
                <w:rFonts w:eastAsia="DengXian"/>
                <w:bCs/>
                <w:lang w:val="en-US" w:eastAsia="zh-CN"/>
              </w:rPr>
              <w:t>We dropped a fixed number of UEs into the system, then randomly assigned a percentage of them to be RedCap UEs based on the agreed simulation assumptions.</w:t>
            </w:r>
          </w:p>
        </w:tc>
      </w:tr>
    </w:tbl>
    <w:p w14:paraId="6ADF54D5" w14:textId="24965C98" w:rsidR="00A4152C" w:rsidRDefault="00A4152C" w:rsidP="00DB1ED6">
      <w:pPr>
        <w:jc w:val="both"/>
        <w:rPr>
          <w:lang w:val="en-US"/>
        </w:rPr>
      </w:pPr>
    </w:p>
    <w:sectPr w:rsidR="00A4152C">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B534BC" w14:textId="77777777" w:rsidR="00084F31" w:rsidRDefault="00084F31" w:rsidP="00581A60">
      <w:pPr>
        <w:spacing w:after="0"/>
      </w:pPr>
      <w:r>
        <w:separator/>
      </w:r>
    </w:p>
  </w:endnote>
  <w:endnote w:type="continuationSeparator" w:id="0">
    <w:p w14:paraId="4CDA6EA3" w14:textId="77777777" w:rsidR="00084F31" w:rsidRDefault="00084F31" w:rsidP="00581A60">
      <w:pPr>
        <w:spacing w:after="0"/>
      </w:pPr>
      <w:r>
        <w:continuationSeparator/>
      </w:r>
    </w:p>
  </w:endnote>
  <w:endnote w:type="continuationNotice" w:id="1">
    <w:p w14:paraId="2C1F3C2A" w14:textId="77777777" w:rsidR="00084F31" w:rsidRDefault="00084F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Liberation Sans">
    <w:charset w:val="00"/>
    <w:family w:val="swiss"/>
    <w:pitch w:val="variable"/>
    <w:sig w:usb0="20000A87" w:usb1="00000000" w:usb2="00000000" w:usb3="00000000" w:csb0="000001BF" w:csb1="00000000"/>
  </w:font>
  <w:font w:name="Noto Sans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031F65" w14:textId="77777777" w:rsidR="00084F31" w:rsidRDefault="00084F31" w:rsidP="00581A60">
      <w:pPr>
        <w:spacing w:after="0"/>
      </w:pPr>
      <w:r>
        <w:separator/>
      </w:r>
    </w:p>
  </w:footnote>
  <w:footnote w:type="continuationSeparator" w:id="0">
    <w:p w14:paraId="5CDC43A8" w14:textId="77777777" w:rsidR="00084F31" w:rsidRDefault="00084F31" w:rsidP="00581A60">
      <w:pPr>
        <w:spacing w:after="0"/>
      </w:pPr>
      <w:r>
        <w:continuationSeparator/>
      </w:r>
    </w:p>
  </w:footnote>
  <w:footnote w:type="continuationNotice" w:id="1">
    <w:p w14:paraId="21D3D3F8" w14:textId="77777777" w:rsidR="00084F31" w:rsidRDefault="00084F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BE0456"/>
    <w:multiLevelType w:val="hybridMultilevel"/>
    <w:tmpl w:val="09BCC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CD3740"/>
    <w:multiLevelType w:val="multilevel"/>
    <w:tmpl w:val="C1823880"/>
    <w:lvl w:ilvl="0">
      <w:start w:val="7"/>
      <w:numFmt w:val="decimal"/>
      <w:lvlText w:val="%1"/>
      <w:lvlJc w:val="left"/>
      <w:pPr>
        <w:ind w:left="645" w:hanging="645"/>
      </w:pPr>
      <w:rPr>
        <w:rFonts w:hint="default"/>
      </w:rPr>
    </w:lvl>
    <w:lvl w:ilvl="1">
      <w:start w:val="6"/>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03517422"/>
    <w:multiLevelType w:val="hybridMultilevel"/>
    <w:tmpl w:val="AC0A8CDA"/>
    <w:lvl w:ilvl="0" w:tplc="1C80B3BC">
      <w:start w:val="8"/>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BE20097"/>
    <w:multiLevelType w:val="hybridMultilevel"/>
    <w:tmpl w:val="9CFE359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D495C2B"/>
    <w:multiLevelType w:val="multilevel"/>
    <w:tmpl w:val="3B8E3F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C9037C"/>
    <w:multiLevelType w:val="hybridMultilevel"/>
    <w:tmpl w:val="59A209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527C4C"/>
    <w:multiLevelType w:val="hybridMultilevel"/>
    <w:tmpl w:val="73D6585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2ED54BE"/>
    <w:multiLevelType w:val="multilevel"/>
    <w:tmpl w:val="AEEE52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54F1DC7"/>
    <w:multiLevelType w:val="hybridMultilevel"/>
    <w:tmpl w:val="470CF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9CB2655"/>
    <w:multiLevelType w:val="hybridMultilevel"/>
    <w:tmpl w:val="84923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F6426F"/>
    <w:multiLevelType w:val="hybridMultilevel"/>
    <w:tmpl w:val="D938B5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2E7339D"/>
    <w:multiLevelType w:val="hybridMultilevel"/>
    <w:tmpl w:val="7B3AF0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6751350"/>
    <w:multiLevelType w:val="hybridMultilevel"/>
    <w:tmpl w:val="3FA63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C14FB0"/>
    <w:multiLevelType w:val="hybridMultilevel"/>
    <w:tmpl w:val="BC6C2DA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881153E"/>
    <w:multiLevelType w:val="hybridMultilevel"/>
    <w:tmpl w:val="07D84B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B187C65"/>
    <w:multiLevelType w:val="hybridMultilevel"/>
    <w:tmpl w:val="33221C8C"/>
    <w:lvl w:ilvl="0" w:tplc="FB28FB1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3173E2"/>
    <w:multiLevelType w:val="hybridMultilevel"/>
    <w:tmpl w:val="E4F2C8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326A04"/>
    <w:multiLevelType w:val="hybridMultilevel"/>
    <w:tmpl w:val="D75CA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C01A7C"/>
    <w:multiLevelType w:val="hybridMultilevel"/>
    <w:tmpl w:val="895C0902"/>
    <w:lvl w:ilvl="0" w:tplc="041D000F">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5AB2637"/>
    <w:multiLevelType w:val="hybridMultilevel"/>
    <w:tmpl w:val="C02CFC98"/>
    <w:lvl w:ilvl="0" w:tplc="E06ADF58">
      <w:numFmt w:val="bullet"/>
      <w:lvlText w:val="-"/>
      <w:lvlJc w:val="left"/>
      <w:pPr>
        <w:ind w:left="720" w:hanging="360"/>
      </w:pPr>
      <w:rPr>
        <w:rFonts w:ascii="Calibri" w:eastAsia="Calibri" w:hAnsi="Calibri" w:cs="Calibri"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7AE4A11"/>
    <w:multiLevelType w:val="hybridMultilevel"/>
    <w:tmpl w:val="A2DC7E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CC05390"/>
    <w:multiLevelType w:val="hybridMultilevel"/>
    <w:tmpl w:val="F976C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E40655C"/>
    <w:multiLevelType w:val="multilevel"/>
    <w:tmpl w:val="3E40655C"/>
    <w:lvl w:ilvl="0">
      <w:start w:val="8"/>
      <w:numFmt w:val="bullet"/>
      <w:lvlText w:val="-"/>
      <w:lvlJc w:val="left"/>
      <w:pPr>
        <w:ind w:left="776" w:hanging="360"/>
      </w:pPr>
      <w:rPr>
        <w:rFonts w:ascii="Times New Roman" w:eastAsia="Times New Roman" w:hAnsi="Times New Roman" w:cs="Times New Roman" w:hint="default"/>
      </w:rPr>
    </w:lvl>
    <w:lvl w:ilvl="1">
      <w:start w:val="1"/>
      <w:numFmt w:val="bullet"/>
      <w:lvlText w:val="o"/>
      <w:lvlJc w:val="left"/>
      <w:pPr>
        <w:ind w:left="1496" w:hanging="360"/>
      </w:pPr>
      <w:rPr>
        <w:rFonts w:ascii="Courier New" w:hAnsi="Courier New" w:cs="Courier New" w:hint="default"/>
      </w:rPr>
    </w:lvl>
    <w:lvl w:ilvl="2">
      <w:start w:val="1"/>
      <w:numFmt w:val="bullet"/>
      <w:lvlText w:val=""/>
      <w:lvlJc w:val="left"/>
      <w:pPr>
        <w:ind w:left="2216" w:hanging="360"/>
      </w:pPr>
      <w:rPr>
        <w:rFonts w:ascii="Wingdings" w:hAnsi="Wingdings" w:hint="default"/>
      </w:rPr>
    </w:lvl>
    <w:lvl w:ilvl="3">
      <w:start w:val="1"/>
      <w:numFmt w:val="bullet"/>
      <w:lvlText w:val=""/>
      <w:lvlJc w:val="left"/>
      <w:pPr>
        <w:ind w:left="2936" w:hanging="360"/>
      </w:pPr>
      <w:rPr>
        <w:rFonts w:ascii="Symbol" w:hAnsi="Symbol" w:hint="default"/>
      </w:rPr>
    </w:lvl>
    <w:lvl w:ilvl="4">
      <w:start w:val="1"/>
      <w:numFmt w:val="bullet"/>
      <w:lvlText w:val="o"/>
      <w:lvlJc w:val="left"/>
      <w:pPr>
        <w:ind w:left="3656" w:hanging="360"/>
      </w:pPr>
      <w:rPr>
        <w:rFonts w:ascii="Courier New" w:hAnsi="Courier New" w:cs="Courier New" w:hint="default"/>
      </w:rPr>
    </w:lvl>
    <w:lvl w:ilvl="5">
      <w:start w:val="1"/>
      <w:numFmt w:val="bullet"/>
      <w:lvlText w:val=""/>
      <w:lvlJc w:val="left"/>
      <w:pPr>
        <w:ind w:left="4376" w:hanging="360"/>
      </w:pPr>
      <w:rPr>
        <w:rFonts w:ascii="Wingdings" w:hAnsi="Wingdings" w:hint="default"/>
      </w:rPr>
    </w:lvl>
    <w:lvl w:ilvl="6">
      <w:start w:val="1"/>
      <w:numFmt w:val="bullet"/>
      <w:lvlText w:val=""/>
      <w:lvlJc w:val="left"/>
      <w:pPr>
        <w:ind w:left="5096" w:hanging="360"/>
      </w:pPr>
      <w:rPr>
        <w:rFonts w:ascii="Symbol" w:hAnsi="Symbol" w:hint="default"/>
      </w:rPr>
    </w:lvl>
    <w:lvl w:ilvl="7">
      <w:start w:val="1"/>
      <w:numFmt w:val="bullet"/>
      <w:lvlText w:val="o"/>
      <w:lvlJc w:val="left"/>
      <w:pPr>
        <w:ind w:left="5816" w:hanging="360"/>
      </w:pPr>
      <w:rPr>
        <w:rFonts w:ascii="Courier New" w:hAnsi="Courier New" w:cs="Courier New" w:hint="default"/>
      </w:rPr>
    </w:lvl>
    <w:lvl w:ilvl="8">
      <w:start w:val="1"/>
      <w:numFmt w:val="bullet"/>
      <w:lvlText w:val=""/>
      <w:lvlJc w:val="left"/>
      <w:pPr>
        <w:ind w:left="6536" w:hanging="360"/>
      </w:pPr>
      <w:rPr>
        <w:rFonts w:ascii="Wingdings" w:hAnsi="Wingdings" w:hint="default"/>
      </w:rPr>
    </w:lvl>
  </w:abstractNum>
  <w:abstractNum w:abstractNumId="24" w15:restartNumberingAfterBreak="0">
    <w:nsid w:val="3F530E18"/>
    <w:multiLevelType w:val="multilevel"/>
    <w:tmpl w:val="1B9EE658"/>
    <w:lvl w:ilvl="0">
      <w:start w:val="1"/>
      <w:numFmt w:val="bullet"/>
      <w:lvlText w:val=""/>
      <w:lvlJc w:val="left"/>
      <w:pPr>
        <w:ind w:left="360" w:hanging="360"/>
      </w:pPr>
      <w:rPr>
        <w:rFonts w:ascii="Symbol" w:hAnsi="Symbol" w:hint="default"/>
      </w:rPr>
    </w:lvl>
    <w:lvl w:ilvl="1">
      <w:start w:val="1"/>
      <w:numFmt w:val="bullet"/>
      <w:lvlText w:val=""/>
      <w:lvlJc w:val="left"/>
      <w:pPr>
        <w:ind w:left="2160" w:hanging="360"/>
      </w:pPr>
      <w:rPr>
        <w:rFonts w:ascii="Symbol" w:hAnsi="Symbol" w:hint="default"/>
      </w:rPr>
    </w:lvl>
    <w:lvl w:ilvl="2">
      <w:start w:val="1"/>
      <w:numFmt w:val="bullet"/>
      <w:lvlText w:val="o"/>
      <w:lvlJc w:val="left"/>
      <w:pPr>
        <w:ind w:left="1080" w:hanging="360"/>
      </w:pPr>
      <w:rPr>
        <w:rFonts w:ascii="Courier New" w:hAnsi="Courier New" w:cs="Courier New" w:hint="default"/>
      </w:rPr>
    </w:lvl>
    <w:lvl w:ilvl="3">
      <w:start w:val="1"/>
      <w:numFmt w:val="bullet"/>
      <w:lvlText w:val=""/>
      <w:lvlJc w:val="left"/>
      <w:pPr>
        <w:ind w:left="1800" w:hanging="360"/>
      </w:pPr>
      <w:rPr>
        <w:rFonts w:ascii="Symbol" w:hAnsi="Symbol" w:hint="default"/>
      </w:rPr>
    </w:lvl>
    <w:lvl w:ilvl="4">
      <w:start w:val="1"/>
      <w:numFmt w:val="bullet"/>
      <w:lvlText w:val="o"/>
      <w:lvlJc w:val="left"/>
      <w:pPr>
        <w:ind w:left="2520" w:hanging="360"/>
      </w:pPr>
      <w:rPr>
        <w:rFonts w:ascii="Courier New" w:hAnsi="Courier New" w:cs="Courier New" w:hint="default"/>
      </w:rPr>
    </w:lvl>
    <w:lvl w:ilvl="5">
      <w:start w:val="1"/>
      <w:numFmt w:val="bullet"/>
      <w:lvlText w:val=""/>
      <w:lvlJc w:val="left"/>
      <w:pPr>
        <w:ind w:left="3240" w:hanging="360"/>
      </w:pPr>
      <w:rPr>
        <w:rFonts w:ascii="Wingdings" w:hAnsi="Wingdings" w:hint="default"/>
      </w:rPr>
    </w:lvl>
    <w:lvl w:ilvl="6">
      <w:start w:val="1"/>
      <w:numFmt w:val="bullet"/>
      <w:lvlText w:val=""/>
      <w:lvlJc w:val="left"/>
      <w:pPr>
        <w:ind w:left="3960" w:hanging="360"/>
      </w:pPr>
      <w:rPr>
        <w:rFonts w:ascii="Symbol" w:hAnsi="Symbol" w:hint="default"/>
      </w:rPr>
    </w:lvl>
    <w:lvl w:ilvl="7">
      <w:start w:val="1"/>
      <w:numFmt w:val="bullet"/>
      <w:lvlText w:val="o"/>
      <w:lvlJc w:val="left"/>
      <w:pPr>
        <w:ind w:left="4680" w:hanging="360"/>
      </w:pPr>
      <w:rPr>
        <w:rFonts w:ascii="Courier New" w:hAnsi="Courier New" w:cs="Courier New" w:hint="default"/>
      </w:rPr>
    </w:lvl>
    <w:lvl w:ilvl="8">
      <w:start w:val="1"/>
      <w:numFmt w:val="bullet"/>
      <w:lvlText w:val=""/>
      <w:lvlJc w:val="left"/>
      <w:pPr>
        <w:ind w:left="5400" w:hanging="360"/>
      </w:pPr>
      <w:rPr>
        <w:rFonts w:ascii="Wingdings" w:hAnsi="Wingdings" w:hint="default"/>
      </w:rPr>
    </w:lvl>
  </w:abstractNum>
  <w:abstractNum w:abstractNumId="25" w15:restartNumberingAfterBreak="0">
    <w:nsid w:val="45B875CB"/>
    <w:multiLevelType w:val="hybridMultilevel"/>
    <w:tmpl w:val="DE5619F6"/>
    <w:lvl w:ilvl="0" w:tplc="8AD820D8">
      <w:start w:val="1"/>
      <w:numFmt w:val="bullet"/>
      <w:lvlText w:val="•"/>
      <w:lvlJc w:val="left"/>
      <w:pPr>
        <w:ind w:left="420" w:hanging="420"/>
      </w:pPr>
      <w:rPr>
        <w:rFonts w:ascii="Arial" w:hAnsi="Arial" w:cs="Times New Roman" w:hint="default"/>
      </w:rPr>
    </w:lvl>
    <w:lvl w:ilvl="1" w:tplc="46A47092">
      <w:start w:val="2"/>
      <w:numFmt w:val="bullet"/>
      <w:lvlText w:val="-"/>
      <w:lvlJc w:val="left"/>
      <w:pPr>
        <w:ind w:left="840" w:hanging="420"/>
      </w:pPr>
      <w:rPr>
        <w:rFonts w:ascii="Times New Roman" w:eastAsia="Calibri"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E5C701A"/>
    <w:multiLevelType w:val="multilevel"/>
    <w:tmpl w:val="D8DE64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0C69DC"/>
    <w:multiLevelType w:val="hybridMultilevel"/>
    <w:tmpl w:val="995E3E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4C9760E"/>
    <w:multiLevelType w:val="hybridMultilevel"/>
    <w:tmpl w:val="B2E0DFF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55666252"/>
    <w:multiLevelType w:val="multilevel"/>
    <w:tmpl w:val="7FD44B76"/>
    <w:lvl w:ilvl="0">
      <w:start w:val="7"/>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75A6F81"/>
    <w:multiLevelType w:val="hybridMultilevel"/>
    <w:tmpl w:val="F23C9DD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0A613DF"/>
    <w:multiLevelType w:val="hybridMultilevel"/>
    <w:tmpl w:val="2A9AC3D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ED374B"/>
    <w:multiLevelType w:val="hybridMultilevel"/>
    <w:tmpl w:val="224625C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487AD5"/>
    <w:multiLevelType w:val="hybridMultilevel"/>
    <w:tmpl w:val="FABA79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8B4D03"/>
    <w:multiLevelType w:val="hybridMultilevel"/>
    <w:tmpl w:val="974CA51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ECB3EC0"/>
    <w:multiLevelType w:val="hybridMultilevel"/>
    <w:tmpl w:val="0884F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3654532"/>
    <w:multiLevelType w:val="hybridMultilevel"/>
    <w:tmpl w:val="BC361E7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73892A40"/>
    <w:multiLevelType w:val="multilevel"/>
    <w:tmpl w:val="0B761E70"/>
    <w:lvl w:ilvl="0">
      <w:start w:val="7"/>
      <w:numFmt w:val="decimal"/>
      <w:lvlText w:val="%1"/>
      <w:lvlJc w:val="left"/>
      <w:pPr>
        <w:ind w:left="617" w:hanging="617"/>
      </w:pPr>
      <w:rPr>
        <w:rFonts w:hint="default"/>
      </w:rPr>
    </w:lvl>
    <w:lvl w:ilvl="1">
      <w:start w:val="3"/>
      <w:numFmt w:val="decimal"/>
      <w:lvlText w:val="%1.%2"/>
      <w:lvlJc w:val="left"/>
      <w:pPr>
        <w:ind w:left="617" w:hanging="617"/>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73A60A8E"/>
    <w:multiLevelType w:val="hybridMultilevel"/>
    <w:tmpl w:val="27A073C4"/>
    <w:lvl w:ilvl="0" w:tplc="0204904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9"/>
  </w:num>
  <w:num w:numId="2">
    <w:abstractNumId w:val="13"/>
  </w:num>
  <w:num w:numId="3">
    <w:abstractNumId w:val="19"/>
  </w:num>
  <w:num w:numId="4">
    <w:abstractNumId w:val="18"/>
  </w:num>
  <w:num w:numId="5">
    <w:abstractNumId w:val="33"/>
  </w:num>
  <w:num w:numId="6">
    <w:abstractNumId w:val="9"/>
  </w:num>
  <w:num w:numId="7">
    <w:abstractNumId w:val="27"/>
  </w:num>
  <w:num w:numId="8">
    <w:abstractNumId w:val="0"/>
  </w:num>
  <w:num w:numId="9">
    <w:abstractNumId w:val="22"/>
  </w:num>
  <w:num w:numId="10">
    <w:abstractNumId w:val="12"/>
  </w:num>
  <w:num w:numId="11">
    <w:abstractNumId w:val="37"/>
  </w:num>
  <w:num w:numId="12">
    <w:abstractNumId w:val="35"/>
  </w:num>
  <w:num w:numId="13">
    <w:abstractNumId w:val="29"/>
  </w:num>
  <w:num w:numId="14">
    <w:abstractNumId w:val="1"/>
  </w:num>
  <w:num w:numId="15">
    <w:abstractNumId w:val="8"/>
  </w:num>
  <w:num w:numId="16">
    <w:abstractNumId w:val="36"/>
  </w:num>
  <w:num w:numId="17">
    <w:abstractNumId w:val="21"/>
  </w:num>
  <w:num w:numId="18">
    <w:abstractNumId w:val="3"/>
  </w:num>
  <w:num w:numId="19">
    <w:abstractNumId w:val="14"/>
  </w:num>
  <w:num w:numId="20">
    <w:abstractNumId w:val="2"/>
  </w:num>
  <w:num w:numId="21">
    <w:abstractNumId w:val="11"/>
  </w:num>
  <w:num w:numId="22">
    <w:abstractNumId w:val="32"/>
  </w:num>
  <w:num w:numId="23">
    <w:abstractNumId w:val="2"/>
  </w:num>
  <w:num w:numId="24">
    <w:abstractNumId w:val="10"/>
  </w:num>
  <w:num w:numId="25">
    <w:abstractNumId w:val="31"/>
  </w:num>
  <w:num w:numId="26">
    <w:abstractNumId w:val="26"/>
  </w:num>
  <w:num w:numId="27">
    <w:abstractNumId w:val="7"/>
  </w:num>
  <w:num w:numId="28">
    <w:abstractNumId w:val="4"/>
  </w:num>
  <w:num w:numId="29">
    <w:abstractNumId w:val="17"/>
  </w:num>
  <w:num w:numId="30">
    <w:abstractNumId w:val="17"/>
  </w:num>
  <w:num w:numId="31">
    <w:abstractNumId w:val="38"/>
  </w:num>
  <w:num w:numId="32">
    <w:abstractNumId w:val="5"/>
  </w:num>
  <w:num w:numId="33">
    <w:abstractNumId w:val="28"/>
  </w:num>
  <w:num w:numId="34">
    <w:abstractNumId w:val="16"/>
  </w:num>
  <w:num w:numId="35">
    <w:abstractNumId w:val="30"/>
  </w:num>
  <w:num w:numId="36">
    <w:abstractNumId w:val="6"/>
  </w:num>
  <w:num w:numId="37">
    <w:abstractNumId w:val="15"/>
  </w:num>
  <w:num w:numId="38">
    <w:abstractNumId w:val="20"/>
  </w:num>
  <w:num w:numId="39">
    <w:abstractNumId w:val="34"/>
  </w:num>
  <w:num w:numId="40">
    <w:abstractNumId w:val="25"/>
  </w:num>
  <w:num w:numId="41">
    <w:abstractNumId w:val="24"/>
  </w:num>
  <w:num w:numId="42">
    <w:abstractNumId w:val="2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proofState w:spelling="clean"/>
  <w:defaultTabStop w:val="284"/>
  <w:hyphenationZone w:val="425"/>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0159"/>
    <w:rsid w:val="00000DDF"/>
    <w:rsid w:val="000024A0"/>
    <w:rsid w:val="000029B7"/>
    <w:rsid w:val="00002D41"/>
    <w:rsid w:val="00002FFB"/>
    <w:rsid w:val="00003466"/>
    <w:rsid w:val="000040F8"/>
    <w:rsid w:val="00004260"/>
    <w:rsid w:val="00004634"/>
    <w:rsid w:val="0000632C"/>
    <w:rsid w:val="000069F5"/>
    <w:rsid w:val="00006AB8"/>
    <w:rsid w:val="00007711"/>
    <w:rsid w:val="00007CB5"/>
    <w:rsid w:val="00007E6B"/>
    <w:rsid w:val="00010432"/>
    <w:rsid w:val="00010B91"/>
    <w:rsid w:val="00011434"/>
    <w:rsid w:val="000124FA"/>
    <w:rsid w:val="00012732"/>
    <w:rsid w:val="00012969"/>
    <w:rsid w:val="00013B98"/>
    <w:rsid w:val="000142D9"/>
    <w:rsid w:val="00014845"/>
    <w:rsid w:val="00014BCC"/>
    <w:rsid w:val="0001561B"/>
    <w:rsid w:val="000156EC"/>
    <w:rsid w:val="00015A1E"/>
    <w:rsid w:val="00016C29"/>
    <w:rsid w:val="00017413"/>
    <w:rsid w:val="000174E4"/>
    <w:rsid w:val="0001767F"/>
    <w:rsid w:val="00017A75"/>
    <w:rsid w:val="00020E8A"/>
    <w:rsid w:val="00021B83"/>
    <w:rsid w:val="0002232B"/>
    <w:rsid w:val="00022395"/>
    <w:rsid w:val="00024D31"/>
    <w:rsid w:val="00025B0C"/>
    <w:rsid w:val="00026632"/>
    <w:rsid w:val="00026B7F"/>
    <w:rsid w:val="00026EA7"/>
    <w:rsid w:val="000273BB"/>
    <w:rsid w:val="00030823"/>
    <w:rsid w:val="00030AFA"/>
    <w:rsid w:val="00031788"/>
    <w:rsid w:val="00032FBD"/>
    <w:rsid w:val="000330D1"/>
    <w:rsid w:val="000333BF"/>
    <w:rsid w:val="0003392F"/>
    <w:rsid w:val="00033BF7"/>
    <w:rsid w:val="00033D2C"/>
    <w:rsid w:val="00033F19"/>
    <w:rsid w:val="000360C3"/>
    <w:rsid w:val="00036876"/>
    <w:rsid w:val="00037279"/>
    <w:rsid w:val="00037590"/>
    <w:rsid w:val="00041FB1"/>
    <w:rsid w:val="00042D81"/>
    <w:rsid w:val="0004332C"/>
    <w:rsid w:val="00043768"/>
    <w:rsid w:val="000437F2"/>
    <w:rsid w:val="00043FBD"/>
    <w:rsid w:val="00044B8A"/>
    <w:rsid w:val="00044E1B"/>
    <w:rsid w:val="0004501F"/>
    <w:rsid w:val="00045092"/>
    <w:rsid w:val="00045AC9"/>
    <w:rsid w:val="00045D30"/>
    <w:rsid w:val="00046034"/>
    <w:rsid w:val="0004677F"/>
    <w:rsid w:val="00047360"/>
    <w:rsid w:val="0004776F"/>
    <w:rsid w:val="00050693"/>
    <w:rsid w:val="000506FD"/>
    <w:rsid w:val="0005094E"/>
    <w:rsid w:val="00050D07"/>
    <w:rsid w:val="00050EA1"/>
    <w:rsid w:val="0005218B"/>
    <w:rsid w:val="00052516"/>
    <w:rsid w:val="0005261B"/>
    <w:rsid w:val="00053138"/>
    <w:rsid w:val="00055715"/>
    <w:rsid w:val="00056970"/>
    <w:rsid w:val="00060460"/>
    <w:rsid w:val="00060582"/>
    <w:rsid w:val="000609DF"/>
    <w:rsid w:val="00060BE3"/>
    <w:rsid w:val="00060FC3"/>
    <w:rsid w:val="00061596"/>
    <w:rsid w:val="00062469"/>
    <w:rsid w:val="0006285B"/>
    <w:rsid w:val="0006287B"/>
    <w:rsid w:val="00062B74"/>
    <w:rsid w:val="00063375"/>
    <w:rsid w:val="000638CF"/>
    <w:rsid w:val="00064560"/>
    <w:rsid w:val="0006491C"/>
    <w:rsid w:val="0006496F"/>
    <w:rsid w:val="00064A53"/>
    <w:rsid w:val="000654BC"/>
    <w:rsid w:val="000700B7"/>
    <w:rsid w:val="00070614"/>
    <w:rsid w:val="00070652"/>
    <w:rsid w:val="00070784"/>
    <w:rsid w:val="00070BD7"/>
    <w:rsid w:val="00070C49"/>
    <w:rsid w:val="0007143F"/>
    <w:rsid w:val="0007209C"/>
    <w:rsid w:val="00072B35"/>
    <w:rsid w:val="000734D0"/>
    <w:rsid w:val="0007362A"/>
    <w:rsid w:val="00074000"/>
    <w:rsid w:val="000741DD"/>
    <w:rsid w:val="00074316"/>
    <w:rsid w:val="0007562D"/>
    <w:rsid w:val="000758AD"/>
    <w:rsid w:val="00076EAE"/>
    <w:rsid w:val="00077B7A"/>
    <w:rsid w:val="00080CD9"/>
    <w:rsid w:val="00081EEB"/>
    <w:rsid w:val="00082BAA"/>
    <w:rsid w:val="000831C2"/>
    <w:rsid w:val="0008336D"/>
    <w:rsid w:val="00083640"/>
    <w:rsid w:val="0008372C"/>
    <w:rsid w:val="00083A64"/>
    <w:rsid w:val="00083DDE"/>
    <w:rsid w:val="00083E08"/>
    <w:rsid w:val="000848EE"/>
    <w:rsid w:val="00084C69"/>
    <w:rsid w:val="00084C82"/>
    <w:rsid w:val="00084F31"/>
    <w:rsid w:val="000851B6"/>
    <w:rsid w:val="00085398"/>
    <w:rsid w:val="00085591"/>
    <w:rsid w:val="0008565F"/>
    <w:rsid w:val="00085B7F"/>
    <w:rsid w:val="00086F7B"/>
    <w:rsid w:val="0008734A"/>
    <w:rsid w:val="00087DC9"/>
    <w:rsid w:val="00087F4E"/>
    <w:rsid w:val="00090EF0"/>
    <w:rsid w:val="000913BF"/>
    <w:rsid w:val="00091966"/>
    <w:rsid w:val="00091A58"/>
    <w:rsid w:val="000920E9"/>
    <w:rsid w:val="00092192"/>
    <w:rsid w:val="0009280B"/>
    <w:rsid w:val="000932F9"/>
    <w:rsid w:val="00093355"/>
    <w:rsid w:val="0009398D"/>
    <w:rsid w:val="00094514"/>
    <w:rsid w:val="00095093"/>
    <w:rsid w:val="00095C08"/>
    <w:rsid w:val="000962AC"/>
    <w:rsid w:val="000963E4"/>
    <w:rsid w:val="00096DB1"/>
    <w:rsid w:val="00097365"/>
    <w:rsid w:val="00097B0A"/>
    <w:rsid w:val="000A16CB"/>
    <w:rsid w:val="000A18AF"/>
    <w:rsid w:val="000A1EF5"/>
    <w:rsid w:val="000A256F"/>
    <w:rsid w:val="000A2E61"/>
    <w:rsid w:val="000A415F"/>
    <w:rsid w:val="000A5AB8"/>
    <w:rsid w:val="000A678E"/>
    <w:rsid w:val="000B0384"/>
    <w:rsid w:val="000B0B8B"/>
    <w:rsid w:val="000B0CCE"/>
    <w:rsid w:val="000B12C7"/>
    <w:rsid w:val="000B1CB2"/>
    <w:rsid w:val="000B204F"/>
    <w:rsid w:val="000B24CA"/>
    <w:rsid w:val="000B53DA"/>
    <w:rsid w:val="000B5877"/>
    <w:rsid w:val="000B62BC"/>
    <w:rsid w:val="000B62F5"/>
    <w:rsid w:val="000B6572"/>
    <w:rsid w:val="000B7DCE"/>
    <w:rsid w:val="000C01E9"/>
    <w:rsid w:val="000C0957"/>
    <w:rsid w:val="000C0C9D"/>
    <w:rsid w:val="000C1348"/>
    <w:rsid w:val="000C1520"/>
    <w:rsid w:val="000C1915"/>
    <w:rsid w:val="000C261D"/>
    <w:rsid w:val="000C26DF"/>
    <w:rsid w:val="000C2717"/>
    <w:rsid w:val="000C2B2C"/>
    <w:rsid w:val="000C3C25"/>
    <w:rsid w:val="000C47DC"/>
    <w:rsid w:val="000C4E07"/>
    <w:rsid w:val="000C617E"/>
    <w:rsid w:val="000C66B0"/>
    <w:rsid w:val="000C6E7B"/>
    <w:rsid w:val="000C77B9"/>
    <w:rsid w:val="000C7FC0"/>
    <w:rsid w:val="000D0910"/>
    <w:rsid w:val="000D0F9E"/>
    <w:rsid w:val="000D0FC5"/>
    <w:rsid w:val="000D1668"/>
    <w:rsid w:val="000D3423"/>
    <w:rsid w:val="000D3A31"/>
    <w:rsid w:val="000D3E52"/>
    <w:rsid w:val="000D3F50"/>
    <w:rsid w:val="000D40C3"/>
    <w:rsid w:val="000D42C8"/>
    <w:rsid w:val="000D4547"/>
    <w:rsid w:val="000D4785"/>
    <w:rsid w:val="000D4B31"/>
    <w:rsid w:val="000D4B69"/>
    <w:rsid w:val="000D566D"/>
    <w:rsid w:val="000D6372"/>
    <w:rsid w:val="000D6B63"/>
    <w:rsid w:val="000D6CBF"/>
    <w:rsid w:val="000D7169"/>
    <w:rsid w:val="000D7CD7"/>
    <w:rsid w:val="000E4A64"/>
    <w:rsid w:val="000E4A6F"/>
    <w:rsid w:val="000E4CF6"/>
    <w:rsid w:val="000E4EA8"/>
    <w:rsid w:val="000E51EC"/>
    <w:rsid w:val="000E703D"/>
    <w:rsid w:val="000E7CCA"/>
    <w:rsid w:val="000F06E7"/>
    <w:rsid w:val="000F13C9"/>
    <w:rsid w:val="000F311B"/>
    <w:rsid w:val="000F4A30"/>
    <w:rsid w:val="000F4B59"/>
    <w:rsid w:val="000F4D8E"/>
    <w:rsid w:val="000F5497"/>
    <w:rsid w:val="000F568D"/>
    <w:rsid w:val="000F5F52"/>
    <w:rsid w:val="000F6846"/>
    <w:rsid w:val="000F719D"/>
    <w:rsid w:val="000F7209"/>
    <w:rsid w:val="000F7421"/>
    <w:rsid w:val="000F7D08"/>
    <w:rsid w:val="0010040F"/>
    <w:rsid w:val="0010078B"/>
    <w:rsid w:val="00100C0C"/>
    <w:rsid w:val="00100EC1"/>
    <w:rsid w:val="001011F4"/>
    <w:rsid w:val="001021B1"/>
    <w:rsid w:val="00102268"/>
    <w:rsid w:val="00102653"/>
    <w:rsid w:val="00103581"/>
    <w:rsid w:val="00103661"/>
    <w:rsid w:val="001036C6"/>
    <w:rsid w:val="00103A49"/>
    <w:rsid w:val="00103E60"/>
    <w:rsid w:val="00104797"/>
    <w:rsid w:val="00104C2F"/>
    <w:rsid w:val="00105BC3"/>
    <w:rsid w:val="00105E6B"/>
    <w:rsid w:val="001061A9"/>
    <w:rsid w:val="00107046"/>
    <w:rsid w:val="00107F84"/>
    <w:rsid w:val="001101B3"/>
    <w:rsid w:val="001106DD"/>
    <w:rsid w:val="00110C1D"/>
    <w:rsid w:val="001110FA"/>
    <w:rsid w:val="0011172C"/>
    <w:rsid w:val="00111821"/>
    <w:rsid w:val="0011313C"/>
    <w:rsid w:val="00113342"/>
    <w:rsid w:val="001144ED"/>
    <w:rsid w:val="001149A3"/>
    <w:rsid w:val="00114ED8"/>
    <w:rsid w:val="00116147"/>
    <w:rsid w:val="00116260"/>
    <w:rsid w:val="001169ED"/>
    <w:rsid w:val="00116C10"/>
    <w:rsid w:val="00116C74"/>
    <w:rsid w:val="00120031"/>
    <w:rsid w:val="001218BD"/>
    <w:rsid w:val="00122331"/>
    <w:rsid w:val="0012260B"/>
    <w:rsid w:val="00122680"/>
    <w:rsid w:val="00122C6A"/>
    <w:rsid w:val="00123461"/>
    <w:rsid w:val="00123572"/>
    <w:rsid w:val="00123C64"/>
    <w:rsid w:val="00123D94"/>
    <w:rsid w:val="0012497B"/>
    <w:rsid w:val="00124C5E"/>
    <w:rsid w:val="00125109"/>
    <w:rsid w:val="00125D71"/>
    <w:rsid w:val="00126513"/>
    <w:rsid w:val="001266BA"/>
    <w:rsid w:val="00126AD6"/>
    <w:rsid w:val="001272FF"/>
    <w:rsid w:val="0012772A"/>
    <w:rsid w:val="00131463"/>
    <w:rsid w:val="00131D7C"/>
    <w:rsid w:val="00132A12"/>
    <w:rsid w:val="00132AC4"/>
    <w:rsid w:val="00133461"/>
    <w:rsid w:val="0013398F"/>
    <w:rsid w:val="00134518"/>
    <w:rsid w:val="00134AD5"/>
    <w:rsid w:val="0013531B"/>
    <w:rsid w:val="0013578A"/>
    <w:rsid w:val="0013724D"/>
    <w:rsid w:val="0013751F"/>
    <w:rsid w:val="00137A07"/>
    <w:rsid w:val="001405AE"/>
    <w:rsid w:val="00140DBB"/>
    <w:rsid w:val="001411E2"/>
    <w:rsid w:val="001417E8"/>
    <w:rsid w:val="00141C66"/>
    <w:rsid w:val="00141D38"/>
    <w:rsid w:val="00141DD5"/>
    <w:rsid w:val="001423FD"/>
    <w:rsid w:val="00142922"/>
    <w:rsid w:val="00142C14"/>
    <w:rsid w:val="00142EE1"/>
    <w:rsid w:val="0014413F"/>
    <w:rsid w:val="00144324"/>
    <w:rsid w:val="00144651"/>
    <w:rsid w:val="00146113"/>
    <w:rsid w:val="00146869"/>
    <w:rsid w:val="00147A58"/>
    <w:rsid w:val="001505DC"/>
    <w:rsid w:val="00150AB2"/>
    <w:rsid w:val="00152056"/>
    <w:rsid w:val="00152830"/>
    <w:rsid w:val="0015294B"/>
    <w:rsid w:val="0015487D"/>
    <w:rsid w:val="0015512E"/>
    <w:rsid w:val="001559CF"/>
    <w:rsid w:val="001566AB"/>
    <w:rsid w:val="00156DE7"/>
    <w:rsid w:val="00157139"/>
    <w:rsid w:val="00157ACD"/>
    <w:rsid w:val="00157D3F"/>
    <w:rsid w:val="0016016D"/>
    <w:rsid w:val="00160386"/>
    <w:rsid w:val="00160CDC"/>
    <w:rsid w:val="001611B3"/>
    <w:rsid w:val="0016173E"/>
    <w:rsid w:val="0016183F"/>
    <w:rsid w:val="00163920"/>
    <w:rsid w:val="00163B41"/>
    <w:rsid w:val="00165465"/>
    <w:rsid w:val="00165822"/>
    <w:rsid w:val="0016646B"/>
    <w:rsid w:val="00166A35"/>
    <w:rsid w:val="00166CA8"/>
    <w:rsid w:val="00167122"/>
    <w:rsid w:val="00167608"/>
    <w:rsid w:val="00167C0A"/>
    <w:rsid w:val="00170B41"/>
    <w:rsid w:val="00170E07"/>
    <w:rsid w:val="001710CF"/>
    <w:rsid w:val="001714E1"/>
    <w:rsid w:val="00171795"/>
    <w:rsid w:val="00172081"/>
    <w:rsid w:val="0017285C"/>
    <w:rsid w:val="00172BAA"/>
    <w:rsid w:val="00172D3D"/>
    <w:rsid w:val="001735F2"/>
    <w:rsid w:val="00173ACB"/>
    <w:rsid w:val="00176255"/>
    <w:rsid w:val="00176F9E"/>
    <w:rsid w:val="0017765C"/>
    <w:rsid w:val="0017770D"/>
    <w:rsid w:val="00180252"/>
    <w:rsid w:val="00180499"/>
    <w:rsid w:val="001814F5"/>
    <w:rsid w:val="00181CA8"/>
    <w:rsid w:val="00181F80"/>
    <w:rsid w:val="0018302D"/>
    <w:rsid w:val="00183F03"/>
    <w:rsid w:val="0018514F"/>
    <w:rsid w:val="00186001"/>
    <w:rsid w:val="0018716B"/>
    <w:rsid w:val="001877F7"/>
    <w:rsid w:val="00187D01"/>
    <w:rsid w:val="001904E9"/>
    <w:rsid w:val="001905E1"/>
    <w:rsid w:val="00190B02"/>
    <w:rsid w:val="001918F4"/>
    <w:rsid w:val="00192A29"/>
    <w:rsid w:val="00192A69"/>
    <w:rsid w:val="0019416E"/>
    <w:rsid w:val="00194D47"/>
    <w:rsid w:val="001953E5"/>
    <w:rsid w:val="00195D98"/>
    <w:rsid w:val="00196A16"/>
    <w:rsid w:val="00197B40"/>
    <w:rsid w:val="001A1502"/>
    <w:rsid w:val="001A1A65"/>
    <w:rsid w:val="001A31EF"/>
    <w:rsid w:val="001A39ED"/>
    <w:rsid w:val="001A3E46"/>
    <w:rsid w:val="001A42C4"/>
    <w:rsid w:val="001A4685"/>
    <w:rsid w:val="001A5867"/>
    <w:rsid w:val="001A62C6"/>
    <w:rsid w:val="001A67EE"/>
    <w:rsid w:val="001A7374"/>
    <w:rsid w:val="001A75A9"/>
    <w:rsid w:val="001A7F28"/>
    <w:rsid w:val="001B0BC0"/>
    <w:rsid w:val="001B0CA0"/>
    <w:rsid w:val="001B102D"/>
    <w:rsid w:val="001B12B1"/>
    <w:rsid w:val="001B18ED"/>
    <w:rsid w:val="001B1BF9"/>
    <w:rsid w:val="001B22B6"/>
    <w:rsid w:val="001B2454"/>
    <w:rsid w:val="001B29DA"/>
    <w:rsid w:val="001B3070"/>
    <w:rsid w:val="001B3547"/>
    <w:rsid w:val="001B35C8"/>
    <w:rsid w:val="001B3624"/>
    <w:rsid w:val="001B3B45"/>
    <w:rsid w:val="001B3D24"/>
    <w:rsid w:val="001B3E69"/>
    <w:rsid w:val="001B4973"/>
    <w:rsid w:val="001B56F5"/>
    <w:rsid w:val="001B5DB0"/>
    <w:rsid w:val="001B60B9"/>
    <w:rsid w:val="001B659B"/>
    <w:rsid w:val="001B66FA"/>
    <w:rsid w:val="001C04AD"/>
    <w:rsid w:val="001C1CA0"/>
    <w:rsid w:val="001C45B2"/>
    <w:rsid w:val="001C49A6"/>
    <w:rsid w:val="001C5618"/>
    <w:rsid w:val="001C5ABB"/>
    <w:rsid w:val="001C5B1E"/>
    <w:rsid w:val="001C5B44"/>
    <w:rsid w:val="001C6704"/>
    <w:rsid w:val="001C7042"/>
    <w:rsid w:val="001C731C"/>
    <w:rsid w:val="001C7FD2"/>
    <w:rsid w:val="001D0A3F"/>
    <w:rsid w:val="001D0F42"/>
    <w:rsid w:val="001D3221"/>
    <w:rsid w:val="001D563F"/>
    <w:rsid w:val="001D5739"/>
    <w:rsid w:val="001D620B"/>
    <w:rsid w:val="001D6B18"/>
    <w:rsid w:val="001D7A66"/>
    <w:rsid w:val="001D7CB2"/>
    <w:rsid w:val="001E0A0D"/>
    <w:rsid w:val="001E0E86"/>
    <w:rsid w:val="001E13AB"/>
    <w:rsid w:val="001E1655"/>
    <w:rsid w:val="001E1ACC"/>
    <w:rsid w:val="001E20BF"/>
    <w:rsid w:val="001E2228"/>
    <w:rsid w:val="001E24DE"/>
    <w:rsid w:val="001E2AE0"/>
    <w:rsid w:val="001E2AEF"/>
    <w:rsid w:val="001E3701"/>
    <w:rsid w:val="001E3CA2"/>
    <w:rsid w:val="001E489B"/>
    <w:rsid w:val="001E516E"/>
    <w:rsid w:val="001E5731"/>
    <w:rsid w:val="001E5BBF"/>
    <w:rsid w:val="001E7651"/>
    <w:rsid w:val="001F02D1"/>
    <w:rsid w:val="001F0305"/>
    <w:rsid w:val="001F12DA"/>
    <w:rsid w:val="001F171D"/>
    <w:rsid w:val="001F172B"/>
    <w:rsid w:val="001F1E9D"/>
    <w:rsid w:val="001F1FCA"/>
    <w:rsid w:val="001F22F7"/>
    <w:rsid w:val="001F26A4"/>
    <w:rsid w:val="001F2A53"/>
    <w:rsid w:val="001F31F3"/>
    <w:rsid w:val="001F374D"/>
    <w:rsid w:val="001F485F"/>
    <w:rsid w:val="001F4A69"/>
    <w:rsid w:val="001F4CFC"/>
    <w:rsid w:val="001F567A"/>
    <w:rsid w:val="001F59D4"/>
    <w:rsid w:val="001F69EF"/>
    <w:rsid w:val="001F6CF1"/>
    <w:rsid w:val="001F6D32"/>
    <w:rsid w:val="001F70FF"/>
    <w:rsid w:val="001F7637"/>
    <w:rsid w:val="001F77DA"/>
    <w:rsid w:val="002000FE"/>
    <w:rsid w:val="00200552"/>
    <w:rsid w:val="002016FD"/>
    <w:rsid w:val="002029A8"/>
    <w:rsid w:val="00202FA9"/>
    <w:rsid w:val="00202FC6"/>
    <w:rsid w:val="002038E2"/>
    <w:rsid w:val="0020462E"/>
    <w:rsid w:val="00204A88"/>
    <w:rsid w:val="00204CB2"/>
    <w:rsid w:val="0020509B"/>
    <w:rsid w:val="002051F4"/>
    <w:rsid w:val="00206781"/>
    <w:rsid w:val="00206B23"/>
    <w:rsid w:val="00207563"/>
    <w:rsid w:val="002114D9"/>
    <w:rsid w:val="00211C24"/>
    <w:rsid w:val="00212D74"/>
    <w:rsid w:val="00212F67"/>
    <w:rsid w:val="00213271"/>
    <w:rsid w:val="002135FA"/>
    <w:rsid w:val="00215642"/>
    <w:rsid w:val="00215BCD"/>
    <w:rsid w:val="00215E41"/>
    <w:rsid w:val="002165D4"/>
    <w:rsid w:val="002166FA"/>
    <w:rsid w:val="00217740"/>
    <w:rsid w:val="002177F7"/>
    <w:rsid w:val="00220237"/>
    <w:rsid w:val="00220A79"/>
    <w:rsid w:val="00220B78"/>
    <w:rsid w:val="00221812"/>
    <w:rsid w:val="00221BC6"/>
    <w:rsid w:val="0022345A"/>
    <w:rsid w:val="0022349B"/>
    <w:rsid w:val="00223CFC"/>
    <w:rsid w:val="002246C5"/>
    <w:rsid w:val="00225C61"/>
    <w:rsid w:val="00226050"/>
    <w:rsid w:val="00226F13"/>
    <w:rsid w:val="00227875"/>
    <w:rsid w:val="00227901"/>
    <w:rsid w:val="002322FD"/>
    <w:rsid w:val="00232B66"/>
    <w:rsid w:val="00232CBE"/>
    <w:rsid w:val="0023340A"/>
    <w:rsid w:val="00234561"/>
    <w:rsid w:val="00234F65"/>
    <w:rsid w:val="002354B1"/>
    <w:rsid w:val="00235B6A"/>
    <w:rsid w:val="00235C55"/>
    <w:rsid w:val="002367BD"/>
    <w:rsid w:val="0023691C"/>
    <w:rsid w:val="002369B7"/>
    <w:rsid w:val="002376C7"/>
    <w:rsid w:val="0023776C"/>
    <w:rsid w:val="0024197E"/>
    <w:rsid w:val="00242453"/>
    <w:rsid w:val="00244B4E"/>
    <w:rsid w:val="002450B6"/>
    <w:rsid w:val="00245790"/>
    <w:rsid w:val="0024672A"/>
    <w:rsid w:val="002476F4"/>
    <w:rsid w:val="0024785F"/>
    <w:rsid w:val="002479F7"/>
    <w:rsid w:val="00250A76"/>
    <w:rsid w:val="002514C7"/>
    <w:rsid w:val="00251A57"/>
    <w:rsid w:val="00251CB1"/>
    <w:rsid w:val="00251CC1"/>
    <w:rsid w:val="0025200B"/>
    <w:rsid w:val="002520EC"/>
    <w:rsid w:val="002521E3"/>
    <w:rsid w:val="00252F59"/>
    <w:rsid w:val="00252F71"/>
    <w:rsid w:val="00252FE4"/>
    <w:rsid w:val="00253642"/>
    <w:rsid w:val="00254118"/>
    <w:rsid w:val="0025568E"/>
    <w:rsid w:val="002564A8"/>
    <w:rsid w:val="00256953"/>
    <w:rsid w:val="00257B45"/>
    <w:rsid w:val="00261B56"/>
    <w:rsid w:val="002638C2"/>
    <w:rsid w:val="002645BC"/>
    <w:rsid w:val="00264A4E"/>
    <w:rsid w:val="00264B70"/>
    <w:rsid w:val="00264F89"/>
    <w:rsid w:val="0026526B"/>
    <w:rsid w:val="002652D8"/>
    <w:rsid w:val="00265523"/>
    <w:rsid w:val="002656C6"/>
    <w:rsid w:val="0026574E"/>
    <w:rsid w:val="00265895"/>
    <w:rsid w:val="00265E7C"/>
    <w:rsid w:val="0026617C"/>
    <w:rsid w:val="0026629C"/>
    <w:rsid w:val="002669DA"/>
    <w:rsid w:val="002669E4"/>
    <w:rsid w:val="002700C9"/>
    <w:rsid w:val="002703F5"/>
    <w:rsid w:val="00270A3C"/>
    <w:rsid w:val="0027141B"/>
    <w:rsid w:val="00272123"/>
    <w:rsid w:val="00272E51"/>
    <w:rsid w:val="0027302B"/>
    <w:rsid w:val="00273085"/>
    <w:rsid w:val="002732BC"/>
    <w:rsid w:val="002742CC"/>
    <w:rsid w:val="00275D4D"/>
    <w:rsid w:val="00276803"/>
    <w:rsid w:val="00276C60"/>
    <w:rsid w:val="00276F56"/>
    <w:rsid w:val="00277B16"/>
    <w:rsid w:val="0028074E"/>
    <w:rsid w:val="002816B8"/>
    <w:rsid w:val="002816EF"/>
    <w:rsid w:val="00281BAB"/>
    <w:rsid w:val="002838E1"/>
    <w:rsid w:val="00283AEF"/>
    <w:rsid w:val="0028431E"/>
    <w:rsid w:val="002847CD"/>
    <w:rsid w:val="00284863"/>
    <w:rsid w:val="0028529F"/>
    <w:rsid w:val="00285C8E"/>
    <w:rsid w:val="00285FCA"/>
    <w:rsid w:val="00286B42"/>
    <w:rsid w:val="00286D76"/>
    <w:rsid w:val="00286EB8"/>
    <w:rsid w:val="0028704D"/>
    <w:rsid w:val="00287687"/>
    <w:rsid w:val="00290C34"/>
    <w:rsid w:val="00290E7C"/>
    <w:rsid w:val="00291F27"/>
    <w:rsid w:val="00291F45"/>
    <w:rsid w:val="0029303E"/>
    <w:rsid w:val="0029339F"/>
    <w:rsid w:val="00293E49"/>
    <w:rsid w:val="00294302"/>
    <w:rsid w:val="00294584"/>
    <w:rsid w:val="00295119"/>
    <w:rsid w:val="00295196"/>
    <w:rsid w:val="0029565F"/>
    <w:rsid w:val="00295D49"/>
    <w:rsid w:val="00295EDE"/>
    <w:rsid w:val="002979D0"/>
    <w:rsid w:val="002A0388"/>
    <w:rsid w:val="002A04D0"/>
    <w:rsid w:val="002A0BFB"/>
    <w:rsid w:val="002A0D2B"/>
    <w:rsid w:val="002A1F4D"/>
    <w:rsid w:val="002A253B"/>
    <w:rsid w:val="002A2733"/>
    <w:rsid w:val="002A2F35"/>
    <w:rsid w:val="002A3DA7"/>
    <w:rsid w:val="002A3E30"/>
    <w:rsid w:val="002A4332"/>
    <w:rsid w:val="002A4371"/>
    <w:rsid w:val="002A5008"/>
    <w:rsid w:val="002A5A1A"/>
    <w:rsid w:val="002A5FEF"/>
    <w:rsid w:val="002A773E"/>
    <w:rsid w:val="002A7886"/>
    <w:rsid w:val="002A7AC4"/>
    <w:rsid w:val="002B0238"/>
    <w:rsid w:val="002B0293"/>
    <w:rsid w:val="002B10FC"/>
    <w:rsid w:val="002B11FD"/>
    <w:rsid w:val="002B1A97"/>
    <w:rsid w:val="002B2054"/>
    <w:rsid w:val="002B2893"/>
    <w:rsid w:val="002B3B89"/>
    <w:rsid w:val="002B43AF"/>
    <w:rsid w:val="002B4828"/>
    <w:rsid w:val="002B49CC"/>
    <w:rsid w:val="002B4A6B"/>
    <w:rsid w:val="002B5733"/>
    <w:rsid w:val="002B7556"/>
    <w:rsid w:val="002B75BC"/>
    <w:rsid w:val="002B7CA6"/>
    <w:rsid w:val="002C055A"/>
    <w:rsid w:val="002C071D"/>
    <w:rsid w:val="002C0916"/>
    <w:rsid w:val="002C19CA"/>
    <w:rsid w:val="002C2FC2"/>
    <w:rsid w:val="002C30D2"/>
    <w:rsid w:val="002C3FEA"/>
    <w:rsid w:val="002C491E"/>
    <w:rsid w:val="002C4CE0"/>
    <w:rsid w:val="002C56A1"/>
    <w:rsid w:val="002C644A"/>
    <w:rsid w:val="002C71D3"/>
    <w:rsid w:val="002C73CA"/>
    <w:rsid w:val="002C7AB0"/>
    <w:rsid w:val="002D1A24"/>
    <w:rsid w:val="002D1EE9"/>
    <w:rsid w:val="002D343A"/>
    <w:rsid w:val="002D3CCB"/>
    <w:rsid w:val="002D3E0B"/>
    <w:rsid w:val="002D4E32"/>
    <w:rsid w:val="002D5811"/>
    <w:rsid w:val="002D5B97"/>
    <w:rsid w:val="002D5C0F"/>
    <w:rsid w:val="002D5E3F"/>
    <w:rsid w:val="002D6679"/>
    <w:rsid w:val="002D6807"/>
    <w:rsid w:val="002D6D02"/>
    <w:rsid w:val="002D6E84"/>
    <w:rsid w:val="002D7402"/>
    <w:rsid w:val="002D759F"/>
    <w:rsid w:val="002D7FF7"/>
    <w:rsid w:val="002E0033"/>
    <w:rsid w:val="002E03F3"/>
    <w:rsid w:val="002E0615"/>
    <w:rsid w:val="002E09CD"/>
    <w:rsid w:val="002E0D06"/>
    <w:rsid w:val="002E13F9"/>
    <w:rsid w:val="002E2DCA"/>
    <w:rsid w:val="002E3322"/>
    <w:rsid w:val="002E34F5"/>
    <w:rsid w:val="002E3D33"/>
    <w:rsid w:val="002E40C2"/>
    <w:rsid w:val="002E40D6"/>
    <w:rsid w:val="002E4CAD"/>
    <w:rsid w:val="002E557D"/>
    <w:rsid w:val="002E5F9D"/>
    <w:rsid w:val="002E6880"/>
    <w:rsid w:val="002E6A14"/>
    <w:rsid w:val="002E6CED"/>
    <w:rsid w:val="002E6FD6"/>
    <w:rsid w:val="002E774E"/>
    <w:rsid w:val="002E7E7D"/>
    <w:rsid w:val="002F09E2"/>
    <w:rsid w:val="002F1E12"/>
    <w:rsid w:val="002F1E94"/>
    <w:rsid w:val="002F2391"/>
    <w:rsid w:val="002F2C7E"/>
    <w:rsid w:val="002F33D3"/>
    <w:rsid w:val="002F370E"/>
    <w:rsid w:val="002F4C85"/>
    <w:rsid w:val="002F4FBD"/>
    <w:rsid w:val="002F509F"/>
    <w:rsid w:val="002F5333"/>
    <w:rsid w:val="002F562A"/>
    <w:rsid w:val="002F5A59"/>
    <w:rsid w:val="002F704F"/>
    <w:rsid w:val="002F7399"/>
    <w:rsid w:val="002F7538"/>
    <w:rsid w:val="00300421"/>
    <w:rsid w:val="0030119E"/>
    <w:rsid w:val="003019FB"/>
    <w:rsid w:val="00301C29"/>
    <w:rsid w:val="003021B4"/>
    <w:rsid w:val="0030396D"/>
    <w:rsid w:val="00304671"/>
    <w:rsid w:val="00304945"/>
    <w:rsid w:val="00304C77"/>
    <w:rsid w:val="003051BB"/>
    <w:rsid w:val="0030528B"/>
    <w:rsid w:val="00305587"/>
    <w:rsid w:val="00305D54"/>
    <w:rsid w:val="00306868"/>
    <w:rsid w:val="00306F31"/>
    <w:rsid w:val="00307F79"/>
    <w:rsid w:val="0031088A"/>
    <w:rsid w:val="00310ED8"/>
    <w:rsid w:val="00311CA3"/>
    <w:rsid w:val="00311E22"/>
    <w:rsid w:val="003129B5"/>
    <w:rsid w:val="00312A82"/>
    <w:rsid w:val="00312B2F"/>
    <w:rsid w:val="00312E70"/>
    <w:rsid w:val="00314126"/>
    <w:rsid w:val="0031609B"/>
    <w:rsid w:val="00316A2E"/>
    <w:rsid w:val="00316DC8"/>
    <w:rsid w:val="0031707C"/>
    <w:rsid w:val="0031759F"/>
    <w:rsid w:val="00317618"/>
    <w:rsid w:val="003220CE"/>
    <w:rsid w:val="00322B2F"/>
    <w:rsid w:val="00323CCF"/>
    <w:rsid w:val="00323DEC"/>
    <w:rsid w:val="00323EB7"/>
    <w:rsid w:val="00323F28"/>
    <w:rsid w:val="003244EE"/>
    <w:rsid w:val="003246A5"/>
    <w:rsid w:val="00325E12"/>
    <w:rsid w:val="00326536"/>
    <w:rsid w:val="003269A7"/>
    <w:rsid w:val="00326CCA"/>
    <w:rsid w:val="00326DA8"/>
    <w:rsid w:val="00327279"/>
    <w:rsid w:val="003274BB"/>
    <w:rsid w:val="00327B60"/>
    <w:rsid w:val="003308FA"/>
    <w:rsid w:val="003317D6"/>
    <w:rsid w:val="003318E3"/>
    <w:rsid w:val="00331F05"/>
    <w:rsid w:val="0033259A"/>
    <w:rsid w:val="003325CB"/>
    <w:rsid w:val="0033393F"/>
    <w:rsid w:val="0033462E"/>
    <w:rsid w:val="0033505E"/>
    <w:rsid w:val="003356C5"/>
    <w:rsid w:val="00335E2D"/>
    <w:rsid w:val="0033779B"/>
    <w:rsid w:val="00337E24"/>
    <w:rsid w:val="003402BE"/>
    <w:rsid w:val="00340BFC"/>
    <w:rsid w:val="0034241D"/>
    <w:rsid w:val="00342B27"/>
    <w:rsid w:val="00343166"/>
    <w:rsid w:val="003439DA"/>
    <w:rsid w:val="00344815"/>
    <w:rsid w:val="00344859"/>
    <w:rsid w:val="00345239"/>
    <w:rsid w:val="00345C38"/>
    <w:rsid w:val="00346202"/>
    <w:rsid w:val="00346291"/>
    <w:rsid w:val="00346670"/>
    <w:rsid w:val="003468BA"/>
    <w:rsid w:val="00346AEC"/>
    <w:rsid w:val="0034769C"/>
    <w:rsid w:val="00347B0F"/>
    <w:rsid w:val="0035077D"/>
    <w:rsid w:val="00350951"/>
    <w:rsid w:val="00350EDA"/>
    <w:rsid w:val="00351145"/>
    <w:rsid w:val="00351BD8"/>
    <w:rsid w:val="00352DE7"/>
    <w:rsid w:val="00353025"/>
    <w:rsid w:val="003539B6"/>
    <w:rsid w:val="00353DBE"/>
    <w:rsid w:val="00353F1B"/>
    <w:rsid w:val="0035453C"/>
    <w:rsid w:val="00355022"/>
    <w:rsid w:val="00355059"/>
    <w:rsid w:val="00355324"/>
    <w:rsid w:val="00355E22"/>
    <w:rsid w:val="00356695"/>
    <w:rsid w:val="003566AB"/>
    <w:rsid w:val="00356F27"/>
    <w:rsid w:val="00357196"/>
    <w:rsid w:val="003574C4"/>
    <w:rsid w:val="00360BE7"/>
    <w:rsid w:val="00360ECE"/>
    <w:rsid w:val="00362A27"/>
    <w:rsid w:val="00362C3A"/>
    <w:rsid w:val="003633CF"/>
    <w:rsid w:val="0036490A"/>
    <w:rsid w:val="00364B75"/>
    <w:rsid w:val="00364FFA"/>
    <w:rsid w:val="00365BAF"/>
    <w:rsid w:val="00365C6B"/>
    <w:rsid w:val="00366814"/>
    <w:rsid w:val="00366CB3"/>
    <w:rsid w:val="003677CC"/>
    <w:rsid w:val="0037030D"/>
    <w:rsid w:val="00370459"/>
    <w:rsid w:val="00370A3D"/>
    <w:rsid w:val="003716F0"/>
    <w:rsid w:val="003717FB"/>
    <w:rsid w:val="00371FA3"/>
    <w:rsid w:val="00372288"/>
    <w:rsid w:val="00372A2D"/>
    <w:rsid w:val="00372D92"/>
    <w:rsid w:val="00372DBD"/>
    <w:rsid w:val="0037371D"/>
    <w:rsid w:val="00373CB6"/>
    <w:rsid w:val="003747D7"/>
    <w:rsid w:val="00374CE2"/>
    <w:rsid w:val="00376217"/>
    <w:rsid w:val="0037631E"/>
    <w:rsid w:val="00376606"/>
    <w:rsid w:val="0037740D"/>
    <w:rsid w:val="003779B1"/>
    <w:rsid w:val="00377EC3"/>
    <w:rsid w:val="0038057A"/>
    <w:rsid w:val="00381169"/>
    <w:rsid w:val="003811F5"/>
    <w:rsid w:val="00381F68"/>
    <w:rsid w:val="00382181"/>
    <w:rsid w:val="00382A19"/>
    <w:rsid w:val="00382C4F"/>
    <w:rsid w:val="00384794"/>
    <w:rsid w:val="003847B2"/>
    <w:rsid w:val="003857DB"/>
    <w:rsid w:val="003858F2"/>
    <w:rsid w:val="00385CA6"/>
    <w:rsid w:val="003867C5"/>
    <w:rsid w:val="00386EBF"/>
    <w:rsid w:val="00387179"/>
    <w:rsid w:val="00387F6F"/>
    <w:rsid w:val="00390C4F"/>
    <w:rsid w:val="00390C7F"/>
    <w:rsid w:val="00391022"/>
    <w:rsid w:val="00391375"/>
    <w:rsid w:val="00391E8A"/>
    <w:rsid w:val="00393404"/>
    <w:rsid w:val="00393412"/>
    <w:rsid w:val="00393700"/>
    <w:rsid w:val="00393F0C"/>
    <w:rsid w:val="00394638"/>
    <w:rsid w:val="00394A7B"/>
    <w:rsid w:val="00394E79"/>
    <w:rsid w:val="0039506A"/>
    <w:rsid w:val="00395212"/>
    <w:rsid w:val="00396532"/>
    <w:rsid w:val="00396DA5"/>
    <w:rsid w:val="00397CAB"/>
    <w:rsid w:val="00397D38"/>
    <w:rsid w:val="00397DD5"/>
    <w:rsid w:val="003A0060"/>
    <w:rsid w:val="003A0267"/>
    <w:rsid w:val="003A043D"/>
    <w:rsid w:val="003A3151"/>
    <w:rsid w:val="003A31CC"/>
    <w:rsid w:val="003A410F"/>
    <w:rsid w:val="003A5D9A"/>
    <w:rsid w:val="003A5F73"/>
    <w:rsid w:val="003A646A"/>
    <w:rsid w:val="003A6AF1"/>
    <w:rsid w:val="003A6E8C"/>
    <w:rsid w:val="003A7F9E"/>
    <w:rsid w:val="003B02CC"/>
    <w:rsid w:val="003B04CE"/>
    <w:rsid w:val="003B0797"/>
    <w:rsid w:val="003B0D0A"/>
    <w:rsid w:val="003B1280"/>
    <w:rsid w:val="003B15E0"/>
    <w:rsid w:val="003B1639"/>
    <w:rsid w:val="003B1F39"/>
    <w:rsid w:val="003B2400"/>
    <w:rsid w:val="003B2C00"/>
    <w:rsid w:val="003B3EF5"/>
    <w:rsid w:val="003B48B3"/>
    <w:rsid w:val="003B5751"/>
    <w:rsid w:val="003B73B1"/>
    <w:rsid w:val="003B79A2"/>
    <w:rsid w:val="003B7BB4"/>
    <w:rsid w:val="003C20B7"/>
    <w:rsid w:val="003C2253"/>
    <w:rsid w:val="003C33A6"/>
    <w:rsid w:val="003C3C5F"/>
    <w:rsid w:val="003C5C43"/>
    <w:rsid w:val="003C5C7F"/>
    <w:rsid w:val="003C5FC3"/>
    <w:rsid w:val="003C6B4B"/>
    <w:rsid w:val="003C7443"/>
    <w:rsid w:val="003C75A9"/>
    <w:rsid w:val="003C78A2"/>
    <w:rsid w:val="003D0BB8"/>
    <w:rsid w:val="003D0CAA"/>
    <w:rsid w:val="003D185C"/>
    <w:rsid w:val="003D1CBD"/>
    <w:rsid w:val="003D2226"/>
    <w:rsid w:val="003D28EB"/>
    <w:rsid w:val="003D328A"/>
    <w:rsid w:val="003D34BC"/>
    <w:rsid w:val="003D3788"/>
    <w:rsid w:val="003D5A2B"/>
    <w:rsid w:val="003D5CF5"/>
    <w:rsid w:val="003D6625"/>
    <w:rsid w:val="003D70B6"/>
    <w:rsid w:val="003D7146"/>
    <w:rsid w:val="003D7364"/>
    <w:rsid w:val="003D7372"/>
    <w:rsid w:val="003D76A6"/>
    <w:rsid w:val="003D7E7B"/>
    <w:rsid w:val="003E08C1"/>
    <w:rsid w:val="003E0918"/>
    <w:rsid w:val="003E0F66"/>
    <w:rsid w:val="003E19EE"/>
    <w:rsid w:val="003E1AD6"/>
    <w:rsid w:val="003E1B09"/>
    <w:rsid w:val="003E1E3D"/>
    <w:rsid w:val="003E1E5E"/>
    <w:rsid w:val="003E3195"/>
    <w:rsid w:val="003E3549"/>
    <w:rsid w:val="003E3639"/>
    <w:rsid w:val="003E48E0"/>
    <w:rsid w:val="003E4AAB"/>
    <w:rsid w:val="003E4D41"/>
    <w:rsid w:val="003E4DB7"/>
    <w:rsid w:val="003E4E55"/>
    <w:rsid w:val="003E50DC"/>
    <w:rsid w:val="003E5718"/>
    <w:rsid w:val="003E5721"/>
    <w:rsid w:val="003E57EF"/>
    <w:rsid w:val="003E6564"/>
    <w:rsid w:val="003E6755"/>
    <w:rsid w:val="003E6A5A"/>
    <w:rsid w:val="003E7420"/>
    <w:rsid w:val="003F0652"/>
    <w:rsid w:val="003F076C"/>
    <w:rsid w:val="003F18AB"/>
    <w:rsid w:val="003F21D0"/>
    <w:rsid w:val="003F59E6"/>
    <w:rsid w:val="003F5D8F"/>
    <w:rsid w:val="003F5F89"/>
    <w:rsid w:val="003F6705"/>
    <w:rsid w:val="003F6DF7"/>
    <w:rsid w:val="003F7C94"/>
    <w:rsid w:val="004001A4"/>
    <w:rsid w:val="00401531"/>
    <w:rsid w:val="00401924"/>
    <w:rsid w:val="00401D42"/>
    <w:rsid w:val="0040200C"/>
    <w:rsid w:val="0040291A"/>
    <w:rsid w:val="00403B6D"/>
    <w:rsid w:val="0040468F"/>
    <w:rsid w:val="004065CF"/>
    <w:rsid w:val="00407244"/>
    <w:rsid w:val="00407D5B"/>
    <w:rsid w:val="00407E50"/>
    <w:rsid w:val="00407FF5"/>
    <w:rsid w:val="0041099E"/>
    <w:rsid w:val="00411523"/>
    <w:rsid w:val="0041219D"/>
    <w:rsid w:val="004125DF"/>
    <w:rsid w:val="004134B0"/>
    <w:rsid w:val="00413810"/>
    <w:rsid w:val="004138B0"/>
    <w:rsid w:val="00413A95"/>
    <w:rsid w:val="004148AD"/>
    <w:rsid w:val="004150DB"/>
    <w:rsid w:val="00415AEA"/>
    <w:rsid w:val="00417502"/>
    <w:rsid w:val="00417B47"/>
    <w:rsid w:val="004200A0"/>
    <w:rsid w:val="0042047B"/>
    <w:rsid w:val="00420EFD"/>
    <w:rsid w:val="00422779"/>
    <w:rsid w:val="00422F41"/>
    <w:rsid w:val="0042310C"/>
    <w:rsid w:val="00423C6B"/>
    <w:rsid w:val="00423FA7"/>
    <w:rsid w:val="004240C1"/>
    <w:rsid w:val="0042410B"/>
    <w:rsid w:val="0042612D"/>
    <w:rsid w:val="00426462"/>
    <w:rsid w:val="0042657F"/>
    <w:rsid w:val="0042711B"/>
    <w:rsid w:val="0042746D"/>
    <w:rsid w:val="0042790F"/>
    <w:rsid w:val="0042799E"/>
    <w:rsid w:val="004279CB"/>
    <w:rsid w:val="00427C03"/>
    <w:rsid w:val="00430394"/>
    <w:rsid w:val="004309AD"/>
    <w:rsid w:val="00430A5A"/>
    <w:rsid w:val="0043120E"/>
    <w:rsid w:val="00431A66"/>
    <w:rsid w:val="00431F54"/>
    <w:rsid w:val="00432EEC"/>
    <w:rsid w:val="0043358E"/>
    <w:rsid w:val="004339E0"/>
    <w:rsid w:val="00433A51"/>
    <w:rsid w:val="00433D2F"/>
    <w:rsid w:val="00434658"/>
    <w:rsid w:val="0043571D"/>
    <w:rsid w:val="00435A82"/>
    <w:rsid w:val="00435BA9"/>
    <w:rsid w:val="0043625C"/>
    <w:rsid w:val="004365B2"/>
    <w:rsid w:val="004369F5"/>
    <w:rsid w:val="00436D7A"/>
    <w:rsid w:val="00436EB3"/>
    <w:rsid w:val="004370A7"/>
    <w:rsid w:val="00437BAB"/>
    <w:rsid w:val="004413EE"/>
    <w:rsid w:val="00441F17"/>
    <w:rsid w:val="00441F27"/>
    <w:rsid w:val="00442522"/>
    <w:rsid w:val="0044375B"/>
    <w:rsid w:val="00444E99"/>
    <w:rsid w:val="00445CAA"/>
    <w:rsid w:val="00445D4B"/>
    <w:rsid w:val="00447E11"/>
    <w:rsid w:val="00450528"/>
    <w:rsid w:val="00450BFE"/>
    <w:rsid w:val="00450D6B"/>
    <w:rsid w:val="004511B4"/>
    <w:rsid w:val="0045120D"/>
    <w:rsid w:val="00452FF2"/>
    <w:rsid w:val="00453110"/>
    <w:rsid w:val="0045324F"/>
    <w:rsid w:val="004549A0"/>
    <w:rsid w:val="004559A2"/>
    <w:rsid w:val="00455BBC"/>
    <w:rsid w:val="00455D13"/>
    <w:rsid w:val="0045746C"/>
    <w:rsid w:val="0045791E"/>
    <w:rsid w:val="00461224"/>
    <w:rsid w:val="00461692"/>
    <w:rsid w:val="00461BD5"/>
    <w:rsid w:val="00462CC5"/>
    <w:rsid w:val="00463A3D"/>
    <w:rsid w:val="00463ACC"/>
    <w:rsid w:val="0046449D"/>
    <w:rsid w:val="00465561"/>
    <w:rsid w:val="004658B0"/>
    <w:rsid w:val="00465912"/>
    <w:rsid w:val="004660B0"/>
    <w:rsid w:val="0046699C"/>
    <w:rsid w:val="00467262"/>
    <w:rsid w:val="0046762C"/>
    <w:rsid w:val="00470901"/>
    <w:rsid w:val="00473A8C"/>
    <w:rsid w:val="00473BD1"/>
    <w:rsid w:val="00474E9A"/>
    <w:rsid w:val="0047569D"/>
    <w:rsid w:val="00475D9A"/>
    <w:rsid w:val="00476334"/>
    <w:rsid w:val="004764CF"/>
    <w:rsid w:val="004803B2"/>
    <w:rsid w:val="0048086E"/>
    <w:rsid w:val="00480BAD"/>
    <w:rsid w:val="00481088"/>
    <w:rsid w:val="004814A2"/>
    <w:rsid w:val="00481684"/>
    <w:rsid w:val="00482371"/>
    <w:rsid w:val="004823B3"/>
    <w:rsid w:val="00482819"/>
    <w:rsid w:val="0048475B"/>
    <w:rsid w:val="00484869"/>
    <w:rsid w:val="00484AD3"/>
    <w:rsid w:val="00485043"/>
    <w:rsid w:val="00485FA3"/>
    <w:rsid w:val="00486820"/>
    <w:rsid w:val="00490EB5"/>
    <w:rsid w:val="0049107C"/>
    <w:rsid w:val="00492050"/>
    <w:rsid w:val="0049208C"/>
    <w:rsid w:val="004929F1"/>
    <w:rsid w:val="0049443E"/>
    <w:rsid w:val="0049508D"/>
    <w:rsid w:val="00495C69"/>
    <w:rsid w:val="00495DD9"/>
    <w:rsid w:val="00497682"/>
    <w:rsid w:val="004A0531"/>
    <w:rsid w:val="004A0902"/>
    <w:rsid w:val="004A108E"/>
    <w:rsid w:val="004A10F1"/>
    <w:rsid w:val="004A275F"/>
    <w:rsid w:val="004A280A"/>
    <w:rsid w:val="004A2CAB"/>
    <w:rsid w:val="004A3BFB"/>
    <w:rsid w:val="004A4E4F"/>
    <w:rsid w:val="004A6A56"/>
    <w:rsid w:val="004A76A5"/>
    <w:rsid w:val="004B0196"/>
    <w:rsid w:val="004B027C"/>
    <w:rsid w:val="004B0B49"/>
    <w:rsid w:val="004B0ED7"/>
    <w:rsid w:val="004B11E2"/>
    <w:rsid w:val="004B147F"/>
    <w:rsid w:val="004B4141"/>
    <w:rsid w:val="004B432B"/>
    <w:rsid w:val="004B490A"/>
    <w:rsid w:val="004B5CED"/>
    <w:rsid w:val="004B5F27"/>
    <w:rsid w:val="004B78CC"/>
    <w:rsid w:val="004C0072"/>
    <w:rsid w:val="004C0B33"/>
    <w:rsid w:val="004C17FC"/>
    <w:rsid w:val="004C184E"/>
    <w:rsid w:val="004C1860"/>
    <w:rsid w:val="004C194A"/>
    <w:rsid w:val="004C1A95"/>
    <w:rsid w:val="004C30CD"/>
    <w:rsid w:val="004C3E13"/>
    <w:rsid w:val="004C40F4"/>
    <w:rsid w:val="004C433D"/>
    <w:rsid w:val="004C4781"/>
    <w:rsid w:val="004C48DF"/>
    <w:rsid w:val="004C508D"/>
    <w:rsid w:val="004C64F3"/>
    <w:rsid w:val="004C6A7F"/>
    <w:rsid w:val="004C6CCE"/>
    <w:rsid w:val="004C6F05"/>
    <w:rsid w:val="004D0435"/>
    <w:rsid w:val="004D0B7C"/>
    <w:rsid w:val="004D0B86"/>
    <w:rsid w:val="004D0CD1"/>
    <w:rsid w:val="004D12AB"/>
    <w:rsid w:val="004D24DA"/>
    <w:rsid w:val="004D3896"/>
    <w:rsid w:val="004D3929"/>
    <w:rsid w:val="004D3BA2"/>
    <w:rsid w:val="004D3F47"/>
    <w:rsid w:val="004D4274"/>
    <w:rsid w:val="004D5623"/>
    <w:rsid w:val="004D5CDE"/>
    <w:rsid w:val="004D5ED4"/>
    <w:rsid w:val="004D6467"/>
    <w:rsid w:val="004D705E"/>
    <w:rsid w:val="004D79B8"/>
    <w:rsid w:val="004E0B97"/>
    <w:rsid w:val="004E1F74"/>
    <w:rsid w:val="004E2A88"/>
    <w:rsid w:val="004E3519"/>
    <w:rsid w:val="004E39F7"/>
    <w:rsid w:val="004E68D2"/>
    <w:rsid w:val="004E6B9C"/>
    <w:rsid w:val="004E736B"/>
    <w:rsid w:val="004E7775"/>
    <w:rsid w:val="004F009C"/>
    <w:rsid w:val="004F0858"/>
    <w:rsid w:val="004F1538"/>
    <w:rsid w:val="004F15DD"/>
    <w:rsid w:val="004F1CC8"/>
    <w:rsid w:val="004F1E92"/>
    <w:rsid w:val="004F273A"/>
    <w:rsid w:val="004F2B62"/>
    <w:rsid w:val="004F303A"/>
    <w:rsid w:val="004F4289"/>
    <w:rsid w:val="004F4D5E"/>
    <w:rsid w:val="004F5084"/>
    <w:rsid w:val="004F5793"/>
    <w:rsid w:val="004F5907"/>
    <w:rsid w:val="004F5F6A"/>
    <w:rsid w:val="004F63CF"/>
    <w:rsid w:val="004F6F13"/>
    <w:rsid w:val="004F78AB"/>
    <w:rsid w:val="00500AC8"/>
    <w:rsid w:val="00501570"/>
    <w:rsid w:val="00502046"/>
    <w:rsid w:val="00503094"/>
    <w:rsid w:val="0050405E"/>
    <w:rsid w:val="005046D5"/>
    <w:rsid w:val="00504A01"/>
    <w:rsid w:val="00504B1B"/>
    <w:rsid w:val="0050581F"/>
    <w:rsid w:val="0050644B"/>
    <w:rsid w:val="00507198"/>
    <w:rsid w:val="005075C1"/>
    <w:rsid w:val="0050772A"/>
    <w:rsid w:val="00507FE7"/>
    <w:rsid w:val="00511B93"/>
    <w:rsid w:val="00511C69"/>
    <w:rsid w:val="00511D8A"/>
    <w:rsid w:val="00512334"/>
    <w:rsid w:val="0051428E"/>
    <w:rsid w:val="0051436F"/>
    <w:rsid w:val="005145E9"/>
    <w:rsid w:val="005152B5"/>
    <w:rsid w:val="00515787"/>
    <w:rsid w:val="005160F0"/>
    <w:rsid w:val="00516696"/>
    <w:rsid w:val="005173D6"/>
    <w:rsid w:val="005174ED"/>
    <w:rsid w:val="00520136"/>
    <w:rsid w:val="005207F2"/>
    <w:rsid w:val="00520F2D"/>
    <w:rsid w:val="0052109A"/>
    <w:rsid w:val="005210F9"/>
    <w:rsid w:val="005227F9"/>
    <w:rsid w:val="00522F97"/>
    <w:rsid w:val="00523377"/>
    <w:rsid w:val="00523407"/>
    <w:rsid w:val="00523A19"/>
    <w:rsid w:val="00525270"/>
    <w:rsid w:val="005255A3"/>
    <w:rsid w:val="00525B00"/>
    <w:rsid w:val="005260A7"/>
    <w:rsid w:val="00526248"/>
    <w:rsid w:val="0052780F"/>
    <w:rsid w:val="0053034A"/>
    <w:rsid w:val="0053046A"/>
    <w:rsid w:val="00530DDC"/>
    <w:rsid w:val="0053127A"/>
    <w:rsid w:val="005318B5"/>
    <w:rsid w:val="005320DE"/>
    <w:rsid w:val="00533390"/>
    <w:rsid w:val="00534900"/>
    <w:rsid w:val="00535FBD"/>
    <w:rsid w:val="0053649F"/>
    <w:rsid w:val="00536820"/>
    <w:rsid w:val="00536CF0"/>
    <w:rsid w:val="005378D0"/>
    <w:rsid w:val="00540376"/>
    <w:rsid w:val="00540AE6"/>
    <w:rsid w:val="005414D9"/>
    <w:rsid w:val="00541A72"/>
    <w:rsid w:val="00541CCA"/>
    <w:rsid w:val="0054222F"/>
    <w:rsid w:val="005424EC"/>
    <w:rsid w:val="005432B0"/>
    <w:rsid w:val="00543A04"/>
    <w:rsid w:val="005440DB"/>
    <w:rsid w:val="00544366"/>
    <w:rsid w:val="005443FF"/>
    <w:rsid w:val="00544D9D"/>
    <w:rsid w:val="00545BE8"/>
    <w:rsid w:val="00545EB8"/>
    <w:rsid w:val="00545EC5"/>
    <w:rsid w:val="005467F9"/>
    <w:rsid w:val="00546A95"/>
    <w:rsid w:val="00546BAF"/>
    <w:rsid w:val="005476E5"/>
    <w:rsid w:val="00547C48"/>
    <w:rsid w:val="00547DFE"/>
    <w:rsid w:val="005504B5"/>
    <w:rsid w:val="00550CC6"/>
    <w:rsid w:val="00551816"/>
    <w:rsid w:val="00551D8E"/>
    <w:rsid w:val="00552401"/>
    <w:rsid w:val="0055390C"/>
    <w:rsid w:val="005539B2"/>
    <w:rsid w:val="005541CD"/>
    <w:rsid w:val="005554F8"/>
    <w:rsid w:val="0055556F"/>
    <w:rsid w:val="00556255"/>
    <w:rsid w:val="005576FF"/>
    <w:rsid w:val="005611BC"/>
    <w:rsid w:val="00562704"/>
    <w:rsid w:val="0056382F"/>
    <w:rsid w:val="00563CF5"/>
    <w:rsid w:val="005648D5"/>
    <w:rsid w:val="00564DDF"/>
    <w:rsid w:val="005655BD"/>
    <w:rsid w:val="00566048"/>
    <w:rsid w:val="005662F3"/>
    <w:rsid w:val="0056699F"/>
    <w:rsid w:val="00566F26"/>
    <w:rsid w:val="00567DBE"/>
    <w:rsid w:val="00567FE4"/>
    <w:rsid w:val="00570BF7"/>
    <w:rsid w:val="00571231"/>
    <w:rsid w:val="005712C4"/>
    <w:rsid w:val="00571A4B"/>
    <w:rsid w:val="00571B15"/>
    <w:rsid w:val="00571E50"/>
    <w:rsid w:val="00572043"/>
    <w:rsid w:val="00572271"/>
    <w:rsid w:val="0057269C"/>
    <w:rsid w:val="00573359"/>
    <w:rsid w:val="00573D8B"/>
    <w:rsid w:val="005745BC"/>
    <w:rsid w:val="005750EB"/>
    <w:rsid w:val="00577272"/>
    <w:rsid w:val="005777E7"/>
    <w:rsid w:val="00581557"/>
    <w:rsid w:val="005815DD"/>
    <w:rsid w:val="00581A60"/>
    <w:rsid w:val="0058262E"/>
    <w:rsid w:val="00582BD2"/>
    <w:rsid w:val="00583105"/>
    <w:rsid w:val="00583749"/>
    <w:rsid w:val="00583C0D"/>
    <w:rsid w:val="005841D9"/>
    <w:rsid w:val="00585304"/>
    <w:rsid w:val="00585B4C"/>
    <w:rsid w:val="00586141"/>
    <w:rsid w:val="0058733D"/>
    <w:rsid w:val="00590DDD"/>
    <w:rsid w:val="0059180B"/>
    <w:rsid w:val="00591B65"/>
    <w:rsid w:val="00591D70"/>
    <w:rsid w:val="00591FD3"/>
    <w:rsid w:val="00592FEF"/>
    <w:rsid w:val="00593F0B"/>
    <w:rsid w:val="00594D40"/>
    <w:rsid w:val="0059513D"/>
    <w:rsid w:val="005956D1"/>
    <w:rsid w:val="00595D33"/>
    <w:rsid w:val="005965DB"/>
    <w:rsid w:val="00596FA0"/>
    <w:rsid w:val="0059712C"/>
    <w:rsid w:val="0059731E"/>
    <w:rsid w:val="00597D69"/>
    <w:rsid w:val="005A13F9"/>
    <w:rsid w:val="005A1577"/>
    <w:rsid w:val="005A21FF"/>
    <w:rsid w:val="005A2DA5"/>
    <w:rsid w:val="005A2FE9"/>
    <w:rsid w:val="005A37C3"/>
    <w:rsid w:val="005A3853"/>
    <w:rsid w:val="005A5D26"/>
    <w:rsid w:val="005A767D"/>
    <w:rsid w:val="005A7B07"/>
    <w:rsid w:val="005B02FD"/>
    <w:rsid w:val="005B13A8"/>
    <w:rsid w:val="005B2C94"/>
    <w:rsid w:val="005B3ABE"/>
    <w:rsid w:val="005B4209"/>
    <w:rsid w:val="005B456E"/>
    <w:rsid w:val="005B4734"/>
    <w:rsid w:val="005B4E3C"/>
    <w:rsid w:val="005B637A"/>
    <w:rsid w:val="005B6735"/>
    <w:rsid w:val="005B6EC9"/>
    <w:rsid w:val="005B71C4"/>
    <w:rsid w:val="005C0315"/>
    <w:rsid w:val="005C0AE0"/>
    <w:rsid w:val="005C3A85"/>
    <w:rsid w:val="005C3C44"/>
    <w:rsid w:val="005C41A2"/>
    <w:rsid w:val="005C43A8"/>
    <w:rsid w:val="005C4C40"/>
    <w:rsid w:val="005C5B7E"/>
    <w:rsid w:val="005C62CE"/>
    <w:rsid w:val="005C7CC2"/>
    <w:rsid w:val="005C7D93"/>
    <w:rsid w:val="005C7F26"/>
    <w:rsid w:val="005D05AA"/>
    <w:rsid w:val="005D0C0A"/>
    <w:rsid w:val="005D0CE3"/>
    <w:rsid w:val="005D2459"/>
    <w:rsid w:val="005D26DF"/>
    <w:rsid w:val="005D31D1"/>
    <w:rsid w:val="005D52EC"/>
    <w:rsid w:val="005D6942"/>
    <w:rsid w:val="005D6A20"/>
    <w:rsid w:val="005D72F2"/>
    <w:rsid w:val="005E0B68"/>
    <w:rsid w:val="005E16F7"/>
    <w:rsid w:val="005E2EFA"/>
    <w:rsid w:val="005E33FD"/>
    <w:rsid w:val="005E3F69"/>
    <w:rsid w:val="005E405B"/>
    <w:rsid w:val="005E41B6"/>
    <w:rsid w:val="005E4214"/>
    <w:rsid w:val="005E4ABB"/>
    <w:rsid w:val="005E5095"/>
    <w:rsid w:val="005E5232"/>
    <w:rsid w:val="005E5AC7"/>
    <w:rsid w:val="005E5E73"/>
    <w:rsid w:val="005E767B"/>
    <w:rsid w:val="005F06FA"/>
    <w:rsid w:val="005F1109"/>
    <w:rsid w:val="005F1DDD"/>
    <w:rsid w:val="005F25AD"/>
    <w:rsid w:val="005F2760"/>
    <w:rsid w:val="005F4076"/>
    <w:rsid w:val="005F42B5"/>
    <w:rsid w:val="005F42C2"/>
    <w:rsid w:val="005F45A1"/>
    <w:rsid w:val="005F461D"/>
    <w:rsid w:val="005F5388"/>
    <w:rsid w:val="005F56B8"/>
    <w:rsid w:val="005F5A0F"/>
    <w:rsid w:val="005F690A"/>
    <w:rsid w:val="005F7306"/>
    <w:rsid w:val="005F7439"/>
    <w:rsid w:val="005F7A92"/>
    <w:rsid w:val="005F7BF4"/>
    <w:rsid w:val="005F7E9A"/>
    <w:rsid w:val="0060003F"/>
    <w:rsid w:val="00601259"/>
    <w:rsid w:val="00601829"/>
    <w:rsid w:val="006029C4"/>
    <w:rsid w:val="00603244"/>
    <w:rsid w:val="00603C3A"/>
    <w:rsid w:val="00605C95"/>
    <w:rsid w:val="00605CC7"/>
    <w:rsid w:val="00605D7D"/>
    <w:rsid w:val="006061D1"/>
    <w:rsid w:val="00611AFB"/>
    <w:rsid w:val="006125E5"/>
    <w:rsid w:val="00612FAC"/>
    <w:rsid w:val="0061348E"/>
    <w:rsid w:val="00613ACB"/>
    <w:rsid w:val="00614252"/>
    <w:rsid w:val="00614A61"/>
    <w:rsid w:val="00614A9E"/>
    <w:rsid w:val="006154D5"/>
    <w:rsid w:val="006159E0"/>
    <w:rsid w:val="0061645F"/>
    <w:rsid w:val="00616890"/>
    <w:rsid w:val="006168AD"/>
    <w:rsid w:val="00616C9A"/>
    <w:rsid w:val="00616D19"/>
    <w:rsid w:val="00617842"/>
    <w:rsid w:val="0061793B"/>
    <w:rsid w:val="00617B1E"/>
    <w:rsid w:val="0062091C"/>
    <w:rsid w:val="00620B22"/>
    <w:rsid w:val="0062180D"/>
    <w:rsid w:val="00621E51"/>
    <w:rsid w:val="006222E7"/>
    <w:rsid w:val="006223CC"/>
    <w:rsid w:val="00622B9E"/>
    <w:rsid w:val="00622F5B"/>
    <w:rsid w:val="00623E3B"/>
    <w:rsid w:val="00624B6C"/>
    <w:rsid w:val="0062512F"/>
    <w:rsid w:val="006257C7"/>
    <w:rsid w:val="00625A69"/>
    <w:rsid w:val="00625C0C"/>
    <w:rsid w:val="00625CC8"/>
    <w:rsid w:val="006260F3"/>
    <w:rsid w:val="00627454"/>
    <w:rsid w:val="006275C0"/>
    <w:rsid w:val="00630476"/>
    <w:rsid w:val="00630484"/>
    <w:rsid w:val="00630809"/>
    <w:rsid w:val="0063081F"/>
    <w:rsid w:val="006316C6"/>
    <w:rsid w:val="00631776"/>
    <w:rsid w:val="006319AD"/>
    <w:rsid w:val="00631E81"/>
    <w:rsid w:val="006321D1"/>
    <w:rsid w:val="006330F5"/>
    <w:rsid w:val="00633C5B"/>
    <w:rsid w:val="00633F13"/>
    <w:rsid w:val="00634094"/>
    <w:rsid w:val="00634D87"/>
    <w:rsid w:val="00635132"/>
    <w:rsid w:val="00635F09"/>
    <w:rsid w:val="006376C6"/>
    <w:rsid w:val="006379C5"/>
    <w:rsid w:val="00637A13"/>
    <w:rsid w:val="00637DED"/>
    <w:rsid w:val="00640C0A"/>
    <w:rsid w:val="0064105B"/>
    <w:rsid w:val="00642D62"/>
    <w:rsid w:val="00642EAE"/>
    <w:rsid w:val="00644B40"/>
    <w:rsid w:val="00644D12"/>
    <w:rsid w:val="00645093"/>
    <w:rsid w:val="00645909"/>
    <w:rsid w:val="006467AE"/>
    <w:rsid w:val="00647454"/>
    <w:rsid w:val="006476FE"/>
    <w:rsid w:val="0065078B"/>
    <w:rsid w:val="0065078D"/>
    <w:rsid w:val="0065084A"/>
    <w:rsid w:val="00650A6A"/>
    <w:rsid w:val="00650D8C"/>
    <w:rsid w:val="0065140E"/>
    <w:rsid w:val="00651CE0"/>
    <w:rsid w:val="00651D75"/>
    <w:rsid w:val="00651E8C"/>
    <w:rsid w:val="00651FA4"/>
    <w:rsid w:val="006531A0"/>
    <w:rsid w:val="00653386"/>
    <w:rsid w:val="006539AA"/>
    <w:rsid w:val="00653BF8"/>
    <w:rsid w:val="00653C60"/>
    <w:rsid w:val="006545B0"/>
    <w:rsid w:val="00654971"/>
    <w:rsid w:val="00656B7A"/>
    <w:rsid w:val="006621AE"/>
    <w:rsid w:val="006623FF"/>
    <w:rsid w:val="006628A6"/>
    <w:rsid w:val="00663E8F"/>
    <w:rsid w:val="006648DB"/>
    <w:rsid w:val="00664ADE"/>
    <w:rsid w:val="00664D7E"/>
    <w:rsid w:val="00664EDE"/>
    <w:rsid w:val="006653E9"/>
    <w:rsid w:val="00665673"/>
    <w:rsid w:val="00666235"/>
    <w:rsid w:val="0066694B"/>
    <w:rsid w:val="00666F23"/>
    <w:rsid w:val="006671BD"/>
    <w:rsid w:val="00667566"/>
    <w:rsid w:val="006704B3"/>
    <w:rsid w:val="0067057F"/>
    <w:rsid w:val="00671B82"/>
    <w:rsid w:val="00673303"/>
    <w:rsid w:val="00673E75"/>
    <w:rsid w:val="00674FCA"/>
    <w:rsid w:val="00676105"/>
    <w:rsid w:val="0067720F"/>
    <w:rsid w:val="00677A18"/>
    <w:rsid w:val="00680D00"/>
    <w:rsid w:val="0068191E"/>
    <w:rsid w:val="0068267A"/>
    <w:rsid w:val="00683492"/>
    <w:rsid w:val="00684D7D"/>
    <w:rsid w:val="00685DE0"/>
    <w:rsid w:val="00685F8A"/>
    <w:rsid w:val="006867F8"/>
    <w:rsid w:val="00690017"/>
    <w:rsid w:val="006916E9"/>
    <w:rsid w:val="0069178E"/>
    <w:rsid w:val="006918C1"/>
    <w:rsid w:val="00691CB6"/>
    <w:rsid w:val="006930B8"/>
    <w:rsid w:val="0069336E"/>
    <w:rsid w:val="00693869"/>
    <w:rsid w:val="00693AC1"/>
    <w:rsid w:val="006944DE"/>
    <w:rsid w:val="00694627"/>
    <w:rsid w:val="00696774"/>
    <w:rsid w:val="00697720"/>
    <w:rsid w:val="006A0C06"/>
    <w:rsid w:val="006A0EB3"/>
    <w:rsid w:val="006A1235"/>
    <w:rsid w:val="006A1493"/>
    <w:rsid w:val="006A277B"/>
    <w:rsid w:val="006A3CB3"/>
    <w:rsid w:val="006A4A31"/>
    <w:rsid w:val="006A53AF"/>
    <w:rsid w:val="006A5F5A"/>
    <w:rsid w:val="006A64AC"/>
    <w:rsid w:val="006A6FE1"/>
    <w:rsid w:val="006A7670"/>
    <w:rsid w:val="006B0277"/>
    <w:rsid w:val="006B087C"/>
    <w:rsid w:val="006B1337"/>
    <w:rsid w:val="006B1E54"/>
    <w:rsid w:val="006B214D"/>
    <w:rsid w:val="006B3561"/>
    <w:rsid w:val="006B3BBD"/>
    <w:rsid w:val="006B40E0"/>
    <w:rsid w:val="006B45CD"/>
    <w:rsid w:val="006B4DD6"/>
    <w:rsid w:val="006B50EF"/>
    <w:rsid w:val="006B534D"/>
    <w:rsid w:val="006B6234"/>
    <w:rsid w:val="006B66C5"/>
    <w:rsid w:val="006B6D74"/>
    <w:rsid w:val="006B7A4B"/>
    <w:rsid w:val="006C0D2E"/>
    <w:rsid w:val="006C1CEA"/>
    <w:rsid w:val="006C21CF"/>
    <w:rsid w:val="006C3966"/>
    <w:rsid w:val="006C39C3"/>
    <w:rsid w:val="006C3D7F"/>
    <w:rsid w:val="006C4192"/>
    <w:rsid w:val="006C514A"/>
    <w:rsid w:val="006C5540"/>
    <w:rsid w:val="006C5C65"/>
    <w:rsid w:val="006C5FDE"/>
    <w:rsid w:val="006C68FD"/>
    <w:rsid w:val="006C7C7D"/>
    <w:rsid w:val="006C7E3E"/>
    <w:rsid w:val="006D0EE7"/>
    <w:rsid w:val="006D16C8"/>
    <w:rsid w:val="006D34C0"/>
    <w:rsid w:val="006D42F1"/>
    <w:rsid w:val="006D4870"/>
    <w:rsid w:val="006D5021"/>
    <w:rsid w:val="006D52AE"/>
    <w:rsid w:val="006D7CE7"/>
    <w:rsid w:val="006E0F5D"/>
    <w:rsid w:val="006E112B"/>
    <w:rsid w:val="006E1A3E"/>
    <w:rsid w:val="006E2FDF"/>
    <w:rsid w:val="006E4058"/>
    <w:rsid w:val="006E4570"/>
    <w:rsid w:val="006E68A0"/>
    <w:rsid w:val="006F01D5"/>
    <w:rsid w:val="006F11C3"/>
    <w:rsid w:val="006F1C4E"/>
    <w:rsid w:val="006F225D"/>
    <w:rsid w:val="006F2328"/>
    <w:rsid w:val="006F2BD5"/>
    <w:rsid w:val="006F3054"/>
    <w:rsid w:val="006F520E"/>
    <w:rsid w:val="006F5691"/>
    <w:rsid w:val="006F683A"/>
    <w:rsid w:val="006F7205"/>
    <w:rsid w:val="006F77C6"/>
    <w:rsid w:val="00700AC8"/>
    <w:rsid w:val="00700E83"/>
    <w:rsid w:val="007017D5"/>
    <w:rsid w:val="00701817"/>
    <w:rsid w:val="00703015"/>
    <w:rsid w:val="00704171"/>
    <w:rsid w:val="00705194"/>
    <w:rsid w:val="007051DB"/>
    <w:rsid w:val="00707850"/>
    <w:rsid w:val="00710394"/>
    <w:rsid w:val="00710D28"/>
    <w:rsid w:val="00711D4B"/>
    <w:rsid w:val="00711EB5"/>
    <w:rsid w:val="0071271F"/>
    <w:rsid w:val="0071281A"/>
    <w:rsid w:val="00714077"/>
    <w:rsid w:val="00715003"/>
    <w:rsid w:val="007150C1"/>
    <w:rsid w:val="0071531E"/>
    <w:rsid w:val="007159EB"/>
    <w:rsid w:val="00716CE1"/>
    <w:rsid w:val="007170DB"/>
    <w:rsid w:val="007170F7"/>
    <w:rsid w:val="007171D3"/>
    <w:rsid w:val="007175F7"/>
    <w:rsid w:val="00717E59"/>
    <w:rsid w:val="007200EE"/>
    <w:rsid w:val="00721092"/>
    <w:rsid w:val="007213DA"/>
    <w:rsid w:val="0072149A"/>
    <w:rsid w:val="007227CE"/>
    <w:rsid w:val="00723158"/>
    <w:rsid w:val="00723BFD"/>
    <w:rsid w:val="007241C5"/>
    <w:rsid w:val="007267BD"/>
    <w:rsid w:val="00726939"/>
    <w:rsid w:val="007277C1"/>
    <w:rsid w:val="00727BD5"/>
    <w:rsid w:val="00727CB9"/>
    <w:rsid w:val="00727E90"/>
    <w:rsid w:val="007308A2"/>
    <w:rsid w:val="0073098E"/>
    <w:rsid w:val="0073131A"/>
    <w:rsid w:val="007318D4"/>
    <w:rsid w:val="007345D9"/>
    <w:rsid w:val="007345DF"/>
    <w:rsid w:val="00734B45"/>
    <w:rsid w:val="00735333"/>
    <w:rsid w:val="0073622A"/>
    <w:rsid w:val="00736C59"/>
    <w:rsid w:val="007370CA"/>
    <w:rsid w:val="00737273"/>
    <w:rsid w:val="00737ADF"/>
    <w:rsid w:val="007401FC"/>
    <w:rsid w:val="0074023D"/>
    <w:rsid w:val="007404D1"/>
    <w:rsid w:val="00741793"/>
    <w:rsid w:val="00741FE9"/>
    <w:rsid w:val="00742AA9"/>
    <w:rsid w:val="00743E5D"/>
    <w:rsid w:val="00744FC2"/>
    <w:rsid w:val="00746D97"/>
    <w:rsid w:val="007509E6"/>
    <w:rsid w:val="00751577"/>
    <w:rsid w:val="00751E83"/>
    <w:rsid w:val="00751F25"/>
    <w:rsid w:val="0075288F"/>
    <w:rsid w:val="0075297E"/>
    <w:rsid w:val="007537D3"/>
    <w:rsid w:val="00753BF8"/>
    <w:rsid w:val="00755450"/>
    <w:rsid w:val="007556F1"/>
    <w:rsid w:val="00756FAD"/>
    <w:rsid w:val="00757225"/>
    <w:rsid w:val="007574F2"/>
    <w:rsid w:val="007578FE"/>
    <w:rsid w:val="00760491"/>
    <w:rsid w:val="0076052F"/>
    <w:rsid w:val="007607AA"/>
    <w:rsid w:val="007619BC"/>
    <w:rsid w:val="00762466"/>
    <w:rsid w:val="00763081"/>
    <w:rsid w:val="00763CB8"/>
    <w:rsid w:val="00763FDF"/>
    <w:rsid w:val="0076462F"/>
    <w:rsid w:val="007646EE"/>
    <w:rsid w:val="00765051"/>
    <w:rsid w:val="007655C2"/>
    <w:rsid w:val="00765A7E"/>
    <w:rsid w:val="00765B11"/>
    <w:rsid w:val="0076672D"/>
    <w:rsid w:val="0076672F"/>
    <w:rsid w:val="00766744"/>
    <w:rsid w:val="00766783"/>
    <w:rsid w:val="00766C1B"/>
    <w:rsid w:val="00766CDA"/>
    <w:rsid w:val="007670B1"/>
    <w:rsid w:val="007712B1"/>
    <w:rsid w:val="00771350"/>
    <w:rsid w:val="00771EC3"/>
    <w:rsid w:val="007724ED"/>
    <w:rsid w:val="00772629"/>
    <w:rsid w:val="00772E16"/>
    <w:rsid w:val="00773985"/>
    <w:rsid w:val="00774410"/>
    <w:rsid w:val="007745D1"/>
    <w:rsid w:val="007745E8"/>
    <w:rsid w:val="0077511F"/>
    <w:rsid w:val="00775377"/>
    <w:rsid w:val="0077671C"/>
    <w:rsid w:val="00776DEE"/>
    <w:rsid w:val="00777351"/>
    <w:rsid w:val="00780B8C"/>
    <w:rsid w:val="007818FF"/>
    <w:rsid w:val="00781B6C"/>
    <w:rsid w:val="00782839"/>
    <w:rsid w:val="00783112"/>
    <w:rsid w:val="00783569"/>
    <w:rsid w:val="007836A6"/>
    <w:rsid w:val="00783863"/>
    <w:rsid w:val="00783E7A"/>
    <w:rsid w:val="00784E3B"/>
    <w:rsid w:val="007866CE"/>
    <w:rsid w:val="00787FBE"/>
    <w:rsid w:val="007909D3"/>
    <w:rsid w:val="00790E47"/>
    <w:rsid w:val="007915FA"/>
    <w:rsid w:val="00792291"/>
    <w:rsid w:val="007929D3"/>
    <w:rsid w:val="00792F5F"/>
    <w:rsid w:val="00792FEF"/>
    <w:rsid w:val="0079305C"/>
    <w:rsid w:val="0079410F"/>
    <w:rsid w:val="0079500C"/>
    <w:rsid w:val="00796255"/>
    <w:rsid w:val="007965C2"/>
    <w:rsid w:val="00796D33"/>
    <w:rsid w:val="00797D63"/>
    <w:rsid w:val="00797FF4"/>
    <w:rsid w:val="007A02C4"/>
    <w:rsid w:val="007A03A0"/>
    <w:rsid w:val="007A0532"/>
    <w:rsid w:val="007A08E3"/>
    <w:rsid w:val="007A0A22"/>
    <w:rsid w:val="007A11E5"/>
    <w:rsid w:val="007A1817"/>
    <w:rsid w:val="007A2AA0"/>
    <w:rsid w:val="007A2B43"/>
    <w:rsid w:val="007A2E79"/>
    <w:rsid w:val="007A2EAF"/>
    <w:rsid w:val="007A43BC"/>
    <w:rsid w:val="007A44C2"/>
    <w:rsid w:val="007A44E1"/>
    <w:rsid w:val="007A44E8"/>
    <w:rsid w:val="007A4538"/>
    <w:rsid w:val="007A4A84"/>
    <w:rsid w:val="007A53BC"/>
    <w:rsid w:val="007A61D7"/>
    <w:rsid w:val="007A630A"/>
    <w:rsid w:val="007A67DC"/>
    <w:rsid w:val="007A6E2B"/>
    <w:rsid w:val="007A6EA3"/>
    <w:rsid w:val="007A70E7"/>
    <w:rsid w:val="007A7157"/>
    <w:rsid w:val="007B01F4"/>
    <w:rsid w:val="007B1041"/>
    <w:rsid w:val="007B10C6"/>
    <w:rsid w:val="007B2604"/>
    <w:rsid w:val="007B3225"/>
    <w:rsid w:val="007B57B9"/>
    <w:rsid w:val="007B5A4C"/>
    <w:rsid w:val="007B79CA"/>
    <w:rsid w:val="007B7ADD"/>
    <w:rsid w:val="007C2A00"/>
    <w:rsid w:val="007C3B48"/>
    <w:rsid w:val="007C3E07"/>
    <w:rsid w:val="007C4982"/>
    <w:rsid w:val="007C5A96"/>
    <w:rsid w:val="007C5C7F"/>
    <w:rsid w:val="007C5E61"/>
    <w:rsid w:val="007C6B4F"/>
    <w:rsid w:val="007C7363"/>
    <w:rsid w:val="007C7C77"/>
    <w:rsid w:val="007C7F37"/>
    <w:rsid w:val="007D065E"/>
    <w:rsid w:val="007D0B7A"/>
    <w:rsid w:val="007D0D4A"/>
    <w:rsid w:val="007D1CE7"/>
    <w:rsid w:val="007D20A0"/>
    <w:rsid w:val="007D21DE"/>
    <w:rsid w:val="007D27D6"/>
    <w:rsid w:val="007D2CEB"/>
    <w:rsid w:val="007D3000"/>
    <w:rsid w:val="007D3080"/>
    <w:rsid w:val="007D3617"/>
    <w:rsid w:val="007D37A0"/>
    <w:rsid w:val="007D3A6D"/>
    <w:rsid w:val="007D3CA0"/>
    <w:rsid w:val="007D441D"/>
    <w:rsid w:val="007D48B4"/>
    <w:rsid w:val="007D6CD4"/>
    <w:rsid w:val="007D723C"/>
    <w:rsid w:val="007D7242"/>
    <w:rsid w:val="007E14AA"/>
    <w:rsid w:val="007E1C0E"/>
    <w:rsid w:val="007E28F1"/>
    <w:rsid w:val="007E2CA4"/>
    <w:rsid w:val="007E2D6F"/>
    <w:rsid w:val="007E3C4D"/>
    <w:rsid w:val="007E4823"/>
    <w:rsid w:val="007E65E4"/>
    <w:rsid w:val="007E6B2D"/>
    <w:rsid w:val="007E6B50"/>
    <w:rsid w:val="007E7E44"/>
    <w:rsid w:val="007F1257"/>
    <w:rsid w:val="007F15FB"/>
    <w:rsid w:val="007F1A71"/>
    <w:rsid w:val="007F1A9A"/>
    <w:rsid w:val="007F1BA7"/>
    <w:rsid w:val="007F1BE7"/>
    <w:rsid w:val="007F219C"/>
    <w:rsid w:val="007F2571"/>
    <w:rsid w:val="007F2790"/>
    <w:rsid w:val="007F2A38"/>
    <w:rsid w:val="007F3444"/>
    <w:rsid w:val="007F5170"/>
    <w:rsid w:val="007F53C1"/>
    <w:rsid w:val="007F60B9"/>
    <w:rsid w:val="007F673B"/>
    <w:rsid w:val="007F67A7"/>
    <w:rsid w:val="007F6982"/>
    <w:rsid w:val="007F7031"/>
    <w:rsid w:val="007F73BA"/>
    <w:rsid w:val="007F7551"/>
    <w:rsid w:val="0080022C"/>
    <w:rsid w:val="008002D5"/>
    <w:rsid w:val="0080139E"/>
    <w:rsid w:val="008023EE"/>
    <w:rsid w:val="00802417"/>
    <w:rsid w:val="008028F4"/>
    <w:rsid w:val="00803FE3"/>
    <w:rsid w:val="00804FD6"/>
    <w:rsid w:val="008058E1"/>
    <w:rsid w:val="00807310"/>
    <w:rsid w:val="00810108"/>
    <w:rsid w:val="0081065C"/>
    <w:rsid w:val="00810F29"/>
    <w:rsid w:val="00811BC1"/>
    <w:rsid w:val="00816007"/>
    <w:rsid w:val="00816485"/>
    <w:rsid w:val="008168EB"/>
    <w:rsid w:val="00816B3F"/>
    <w:rsid w:val="008171A7"/>
    <w:rsid w:val="00817637"/>
    <w:rsid w:val="00817AC1"/>
    <w:rsid w:val="00817D4C"/>
    <w:rsid w:val="00817D93"/>
    <w:rsid w:val="00817FC3"/>
    <w:rsid w:val="0082005D"/>
    <w:rsid w:val="0082078A"/>
    <w:rsid w:val="0082187D"/>
    <w:rsid w:val="008221B0"/>
    <w:rsid w:val="00822345"/>
    <w:rsid w:val="00822371"/>
    <w:rsid w:val="008227CF"/>
    <w:rsid w:val="00823AC5"/>
    <w:rsid w:val="00824368"/>
    <w:rsid w:val="00824D87"/>
    <w:rsid w:val="00825F25"/>
    <w:rsid w:val="00825F83"/>
    <w:rsid w:val="00827E05"/>
    <w:rsid w:val="00827EAA"/>
    <w:rsid w:val="008314A3"/>
    <w:rsid w:val="00831ED6"/>
    <w:rsid w:val="00832202"/>
    <w:rsid w:val="0083326E"/>
    <w:rsid w:val="008347D7"/>
    <w:rsid w:val="00834A4D"/>
    <w:rsid w:val="00834F01"/>
    <w:rsid w:val="00835102"/>
    <w:rsid w:val="008351AD"/>
    <w:rsid w:val="00835E2F"/>
    <w:rsid w:val="0083617F"/>
    <w:rsid w:val="008361BB"/>
    <w:rsid w:val="008366B1"/>
    <w:rsid w:val="008379AD"/>
    <w:rsid w:val="008405A1"/>
    <w:rsid w:val="00840D7B"/>
    <w:rsid w:val="008415B9"/>
    <w:rsid w:val="00841D59"/>
    <w:rsid w:val="00841DBA"/>
    <w:rsid w:val="00841E37"/>
    <w:rsid w:val="00842F2C"/>
    <w:rsid w:val="00845103"/>
    <w:rsid w:val="0084551B"/>
    <w:rsid w:val="00845774"/>
    <w:rsid w:val="00845E8C"/>
    <w:rsid w:val="00846262"/>
    <w:rsid w:val="008468A7"/>
    <w:rsid w:val="00846C95"/>
    <w:rsid w:val="00846CA6"/>
    <w:rsid w:val="00846ED9"/>
    <w:rsid w:val="00850CA9"/>
    <w:rsid w:val="00850F63"/>
    <w:rsid w:val="0085277A"/>
    <w:rsid w:val="00852A09"/>
    <w:rsid w:val="00853E2F"/>
    <w:rsid w:val="008540F4"/>
    <w:rsid w:val="0085445C"/>
    <w:rsid w:val="00854536"/>
    <w:rsid w:val="00854647"/>
    <w:rsid w:val="00854F03"/>
    <w:rsid w:val="00855258"/>
    <w:rsid w:val="008557F9"/>
    <w:rsid w:val="00855E50"/>
    <w:rsid w:val="00856166"/>
    <w:rsid w:val="00856746"/>
    <w:rsid w:val="00857DAA"/>
    <w:rsid w:val="00861218"/>
    <w:rsid w:val="0086167C"/>
    <w:rsid w:val="00861D3F"/>
    <w:rsid w:val="00862B55"/>
    <w:rsid w:val="00862C56"/>
    <w:rsid w:val="008633D2"/>
    <w:rsid w:val="0086340F"/>
    <w:rsid w:val="00863410"/>
    <w:rsid w:val="00863AF1"/>
    <w:rsid w:val="00864890"/>
    <w:rsid w:val="008654E2"/>
    <w:rsid w:val="008661B2"/>
    <w:rsid w:val="008663AC"/>
    <w:rsid w:val="00867740"/>
    <w:rsid w:val="00870353"/>
    <w:rsid w:val="0087035A"/>
    <w:rsid w:val="00870F18"/>
    <w:rsid w:val="0087108B"/>
    <w:rsid w:val="008720CE"/>
    <w:rsid w:val="00872A1D"/>
    <w:rsid w:val="00872E5F"/>
    <w:rsid w:val="008735D7"/>
    <w:rsid w:val="00873B30"/>
    <w:rsid w:val="00873E70"/>
    <w:rsid w:val="00873F16"/>
    <w:rsid w:val="00873F9E"/>
    <w:rsid w:val="0087504B"/>
    <w:rsid w:val="008755CD"/>
    <w:rsid w:val="008760DF"/>
    <w:rsid w:val="0087614C"/>
    <w:rsid w:val="00877343"/>
    <w:rsid w:val="0087789C"/>
    <w:rsid w:val="008778F5"/>
    <w:rsid w:val="00877FFE"/>
    <w:rsid w:val="00880936"/>
    <w:rsid w:val="00880FB7"/>
    <w:rsid w:val="00880FF0"/>
    <w:rsid w:val="008812CB"/>
    <w:rsid w:val="00881593"/>
    <w:rsid w:val="00881612"/>
    <w:rsid w:val="00881632"/>
    <w:rsid w:val="0088168A"/>
    <w:rsid w:val="00882016"/>
    <w:rsid w:val="00882693"/>
    <w:rsid w:val="00882F05"/>
    <w:rsid w:val="008839CB"/>
    <w:rsid w:val="00883B11"/>
    <w:rsid w:val="0088434A"/>
    <w:rsid w:val="00884435"/>
    <w:rsid w:val="00884AA0"/>
    <w:rsid w:val="00884DAB"/>
    <w:rsid w:val="00884E83"/>
    <w:rsid w:val="0088547A"/>
    <w:rsid w:val="00885564"/>
    <w:rsid w:val="00885B57"/>
    <w:rsid w:val="00886FE5"/>
    <w:rsid w:val="00887147"/>
    <w:rsid w:val="00890BAE"/>
    <w:rsid w:val="00891348"/>
    <w:rsid w:val="00891BCA"/>
    <w:rsid w:val="00891CF2"/>
    <w:rsid w:val="00893439"/>
    <w:rsid w:val="00894841"/>
    <w:rsid w:val="0089577A"/>
    <w:rsid w:val="00895F68"/>
    <w:rsid w:val="00896C26"/>
    <w:rsid w:val="0089786A"/>
    <w:rsid w:val="008A04B2"/>
    <w:rsid w:val="008A0F0F"/>
    <w:rsid w:val="008A19A2"/>
    <w:rsid w:val="008A1DAF"/>
    <w:rsid w:val="008A26E5"/>
    <w:rsid w:val="008A2CE2"/>
    <w:rsid w:val="008A31E5"/>
    <w:rsid w:val="008A4FE3"/>
    <w:rsid w:val="008A50CF"/>
    <w:rsid w:val="008A513E"/>
    <w:rsid w:val="008A5A7D"/>
    <w:rsid w:val="008A5AB2"/>
    <w:rsid w:val="008A622D"/>
    <w:rsid w:val="008A7090"/>
    <w:rsid w:val="008B0096"/>
    <w:rsid w:val="008B0B50"/>
    <w:rsid w:val="008B12D5"/>
    <w:rsid w:val="008B2126"/>
    <w:rsid w:val="008B42DD"/>
    <w:rsid w:val="008B4AD2"/>
    <w:rsid w:val="008B4F05"/>
    <w:rsid w:val="008B5BAE"/>
    <w:rsid w:val="008B5C52"/>
    <w:rsid w:val="008B5F30"/>
    <w:rsid w:val="008B6557"/>
    <w:rsid w:val="008B6638"/>
    <w:rsid w:val="008B67FD"/>
    <w:rsid w:val="008B720F"/>
    <w:rsid w:val="008B7256"/>
    <w:rsid w:val="008C11DE"/>
    <w:rsid w:val="008C24BB"/>
    <w:rsid w:val="008C4EE2"/>
    <w:rsid w:val="008C57B3"/>
    <w:rsid w:val="008C6FE3"/>
    <w:rsid w:val="008C7481"/>
    <w:rsid w:val="008C7783"/>
    <w:rsid w:val="008D0877"/>
    <w:rsid w:val="008D118F"/>
    <w:rsid w:val="008D1D8F"/>
    <w:rsid w:val="008D34FA"/>
    <w:rsid w:val="008D36A4"/>
    <w:rsid w:val="008D4A1D"/>
    <w:rsid w:val="008D6277"/>
    <w:rsid w:val="008D6B1A"/>
    <w:rsid w:val="008E0B98"/>
    <w:rsid w:val="008E0D01"/>
    <w:rsid w:val="008E0DEB"/>
    <w:rsid w:val="008E165E"/>
    <w:rsid w:val="008E2E42"/>
    <w:rsid w:val="008E300D"/>
    <w:rsid w:val="008E3C3B"/>
    <w:rsid w:val="008E4561"/>
    <w:rsid w:val="008E4B7C"/>
    <w:rsid w:val="008E4F28"/>
    <w:rsid w:val="008E5AD8"/>
    <w:rsid w:val="008E6E3F"/>
    <w:rsid w:val="008E6E43"/>
    <w:rsid w:val="008E78C2"/>
    <w:rsid w:val="008F112A"/>
    <w:rsid w:val="008F181A"/>
    <w:rsid w:val="008F2315"/>
    <w:rsid w:val="008F292C"/>
    <w:rsid w:val="008F3261"/>
    <w:rsid w:val="008F43EF"/>
    <w:rsid w:val="008F46BC"/>
    <w:rsid w:val="008F4F70"/>
    <w:rsid w:val="008F6C11"/>
    <w:rsid w:val="008F740C"/>
    <w:rsid w:val="008F7861"/>
    <w:rsid w:val="008F7BD0"/>
    <w:rsid w:val="008F7F21"/>
    <w:rsid w:val="008F7FF7"/>
    <w:rsid w:val="0090084C"/>
    <w:rsid w:val="00900E6D"/>
    <w:rsid w:val="00901203"/>
    <w:rsid w:val="009014C0"/>
    <w:rsid w:val="00901A97"/>
    <w:rsid w:val="00902D7D"/>
    <w:rsid w:val="00902FAC"/>
    <w:rsid w:val="00903501"/>
    <w:rsid w:val="0090357E"/>
    <w:rsid w:val="00903769"/>
    <w:rsid w:val="00904043"/>
    <w:rsid w:val="009048B1"/>
    <w:rsid w:val="00904B6B"/>
    <w:rsid w:val="00904D09"/>
    <w:rsid w:val="009050A5"/>
    <w:rsid w:val="0090616E"/>
    <w:rsid w:val="00906A55"/>
    <w:rsid w:val="00906AF4"/>
    <w:rsid w:val="00910194"/>
    <w:rsid w:val="009102FE"/>
    <w:rsid w:val="009105F0"/>
    <w:rsid w:val="009107A9"/>
    <w:rsid w:val="0091221B"/>
    <w:rsid w:val="009132A1"/>
    <w:rsid w:val="0091342A"/>
    <w:rsid w:val="0091399A"/>
    <w:rsid w:val="00913D59"/>
    <w:rsid w:val="009146A3"/>
    <w:rsid w:val="00914CEF"/>
    <w:rsid w:val="00915277"/>
    <w:rsid w:val="00917565"/>
    <w:rsid w:val="00917C69"/>
    <w:rsid w:val="009201B5"/>
    <w:rsid w:val="0092155C"/>
    <w:rsid w:val="009226FD"/>
    <w:rsid w:val="00922DB3"/>
    <w:rsid w:val="00923BC2"/>
    <w:rsid w:val="00923EE5"/>
    <w:rsid w:val="00925A82"/>
    <w:rsid w:val="009267A4"/>
    <w:rsid w:val="009302D5"/>
    <w:rsid w:val="009309A2"/>
    <w:rsid w:val="00930E03"/>
    <w:rsid w:val="00931FF6"/>
    <w:rsid w:val="009335CA"/>
    <w:rsid w:val="00933756"/>
    <w:rsid w:val="00934846"/>
    <w:rsid w:val="009353F2"/>
    <w:rsid w:val="00935757"/>
    <w:rsid w:val="00935C98"/>
    <w:rsid w:val="0093631E"/>
    <w:rsid w:val="00936783"/>
    <w:rsid w:val="00936958"/>
    <w:rsid w:val="00936B0C"/>
    <w:rsid w:val="00936D15"/>
    <w:rsid w:val="009374F6"/>
    <w:rsid w:val="00937653"/>
    <w:rsid w:val="00940031"/>
    <w:rsid w:val="00940A28"/>
    <w:rsid w:val="0094229A"/>
    <w:rsid w:val="00942EB8"/>
    <w:rsid w:val="00943543"/>
    <w:rsid w:val="009438D4"/>
    <w:rsid w:val="009450DF"/>
    <w:rsid w:val="00945B59"/>
    <w:rsid w:val="00945BCA"/>
    <w:rsid w:val="0094667F"/>
    <w:rsid w:val="00946E16"/>
    <w:rsid w:val="00947C97"/>
    <w:rsid w:val="00950156"/>
    <w:rsid w:val="00950608"/>
    <w:rsid w:val="00951501"/>
    <w:rsid w:val="00951B97"/>
    <w:rsid w:val="00952CAC"/>
    <w:rsid w:val="00952FFF"/>
    <w:rsid w:val="00953276"/>
    <w:rsid w:val="009535DA"/>
    <w:rsid w:val="00953B4A"/>
    <w:rsid w:val="00953F94"/>
    <w:rsid w:val="00954983"/>
    <w:rsid w:val="00954AF7"/>
    <w:rsid w:val="009554E5"/>
    <w:rsid w:val="0095598F"/>
    <w:rsid w:val="009574C0"/>
    <w:rsid w:val="00960313"/>
    <w:rsid w:val="009608F4"/>
    <w:rsid w:val="00960C0F"/>
    <w:rsid w:val="00960D99"/>
    <w:rsid w:val="009620FE"/>
    <w:rsid w:val="00963B02"/>
    <w:rsid w:val="009643CB"/>
    <w:rsid w:val="00965163"/>
    <w:rsid w:val="00965B29"/>
    <w:rsid w:val="00965E08"/>
    <w:rsid w:val="009666F4"/>
    <w:rsid w:val="00967B73"/>
    <w:rsid w:val="009715E4"/>
    <w:rsid w:val="00971B77"/>
    <w:rsid w:val="009721A9"/>
    <w:rsid w:val="009726C3"/>
    <w:rsid w:val="00972BF3"/>
    <w:rsid w:val="00972F23"/>
    <w:rsid w:val="00972FFA"/>
    <w:rsid w:val="00973C95"/>
    <w:rsid w:val="00974B9C"/>
    <w:rsid w:val="0097510B"/>
    <w:rsid w:val="00975376"/>
    <w:rsid w:val="0097579C"/>
    <w:rsid w:val="00976101"/>
    <w:rsid w:val="0097645E"/>
    <w:rsid w:val="00976AEE"/>
    <w:rsid w:val="00976E79"/>
    <w:rsid w:val="00976F5A"/>
    <w:rsid w:val="0097722A"/>
    <w:rsid w:val="00977BE2"/>
    <w:rsid w:val="00977E14"/>
    <w:rsid w:val="0098027F"/>
    <w:rsid w:val="00980B77"/>
    <w:rsid w:val="009813C8"/>
    <w:rsid w:val="00983BFD"/>
    <w:rsid w:val="009848BE"/>
    <w:rsid w:val="00984E1A"/>
    <w:rsid w:val="00984E32"/>
    <w:rsid w:val="009854E7"/>
    <w:rsid w:val="00985556"/>
    <w:rsid w:val="0098591A"/>
    <w:rsid w:val="00986976"/>
    <w:rsid w:val="009870B6"/>
    <w:rsid w:val="00990061"/>
    <w:rsid w:val="0099057E"/>
    <w:rsid w:val="00991199"/>
    <w:rsid w:val="009919E8"/>
    <w:rsid w:val="00991A81"/>
    <w:rsid w:val="009924EE"/>
    <w:rsid w:val="00992AC4"/>
    <w:rsid w:val="00992C42"/>
    <w:rsid w:val="009936ED"/>
    <w:rsid w:val="00996563"/>
    <w:rsid w:val="00996AF2"/>
    <w:rsid w:val="00996F94"/>
    <w:rsid w:val="00997A0C"/>
    <w:rsid w:val="00997A3F"/>
    <w:rsid w:val="00997FC0"/>
    <w:rsid w:val="009A0CFA"/>
    <w:rsid w:val="009A0D2D"/>
    <w:rsid w:val="009A0E3F"/>
    <w:rsid w:val="009A2330"/>
    <w:rsid w:val="009A27A0"/>
    <w:rsid w:val="009A31E0"/>
    <w:rsid w:val="009A31EB"/>
    <w:rsid w:val="009A367E"/>
    <w:rsid w:val="009A383E"/>
    <w:rsid w:val="009A455D"/>
    <w:rsid w:val="009A4DA3"/>
    <w:rsid w:val="009A6362"/>
    <w:rsid w:val="009A650F"/>
    <w:rsid w:val="009A6BF5"/>
    <w:rsid w:val="009A748D"/>
    <w:rsid w:val="009A7546"/>
    <w:rsid w:val="009A79F2"/>
    <w:rsid w:val="009A7A28"/>
    <w:rsid w:val="009B0F80"/>
    <w:rsid w:val="009B0FC1"/>
    <w:rsid w:val="009B16CA"/>
    <w:rsid w:val="009B389A"/>
    <w:rsid w:val="009B42D2"/>
    <w:rsid w:val="009B4667"/>
    <w:rsid w:val="009B4D79"/>
    <w:rsid w:val="009B7145"/>
    <w:rsid w:val="009B78F0"/>
    <w:rsid w:val="009C0700"/>
    <w:rsid w:val="009C08BD"/>
    <w:rsid w:val="009C159D"/>
    <w:rsid w:val="009C2823"/>
    <w:rsid w:val="009C28BE"/>
    <w:rsid w:val="009C297A"/>
    <w:rsid w:val="009C38E4"/>
    <w:rsid w:val="009C3CA1"/>
    <w:rsid w:val="009C3CB1"/>
    <w:rsid w:val="009C48B6"/>
    <w:rsid w:val="009C4C29"/>
    <w:rsid w:val="009C4DD0"/>
    <w:rsid w:val="009C505C"/>
    <w:rsid w:val="009C60BB"/>
    <w:rsid w:val="009C722E"/>
    <w:rsid w:val="009D0D67"/>
    <w:rsid w:val="009D1E39"/>
    <w:rsid w:val="009D325F"/>
    <w:rsid w:val="009D3617"/>
    <w:rsid w:val="009D43E1"/>
    <w:rsid w:val="009D49EC"/>
    <w:rsid w:val="009D5286"/>
    <w:rsid w:val="009D5630"/>
    <w:rsid w:val="009D7589"/>
    <w:rsid w:val="009E0341"/>
    <w:rsid w:val="009E065A"/>
    <w:rsid w:val="009E0693"/>
    <w:rsid w:val="009E077B"/>
    <w:rsid w:val="009E191C"/>
    <w:rsid w:val="009E2008"/>
    <w:rsid w:val="009E222E"/>
    <w:rsid w:val="009E24ED"/>
    <w:rsid w:val="009E27EC"/>
    <w:rsid w:val="009E27F6"/>
    <w:rsid w:val="009E2FCA"/>
    <w:rsid w:val="009E3018"/>
    <w:rsid w:val="009E3EDD"/>
    <w:rsid w:val="009E4541"/>
    <w:rsid w:val="009E47F8"/>
    <w:rsid w:val="009E52E3"/>
    <w:rsid w:val="009E55F4"/>
    <w:rsid w:val="009E5BF1"/>
    <w:rsid w:val="009E683B"/>
    <w:rsid w:val="009E6DA3"/>
    <w:rsid w:val="009F04AB"/>
    <w:rsid w:val="009F08DC"/>
    <w:rsid w:val="009F19EB"/>
    <w:rsid w:val="009F1DF1"/>
    <w:rsid w:val="009F2631"/>
    <w:rsid w:val="009F2D6F"/>
    <w:rsid w:val="009F35B7"/>
    <w:rsid w:val="009F3623"/>
    <w:rsid w:val="009F3893"/>
    <w:rsid w:val="009F3AB0"/>
    <w:rsid w:val="009F4066"/>
    <w:rsid w:val="009F4D15"/>
    <w:rsid w:val="009F608B"/>
    <w:rsid w:val="009F63A6"/>
    <w:rsid w:val="009F7B99"/>
    <w:rsid w:val="00A00242"/>
    <w:rsid w:val="00A002BE"/>
    <w:rsid w:val="00A00E7A"/>
    <w:rsid w:val="00A01DF4"/>
    <w:rsid w:val="00A021A6"/>
    <w:rsid w:val="00A0368E"/>
    <w:rsid w:val="00A042A7"/>
    <w:rsid w:val="00A04379"/>
    <w:rsid w:val="00A0437D"/>
    <w:rsid w:val="00A0511D"/>
    <w:rsid w:val="00A05C6D"/>
    <w:rsid w:val="00A06110"/>
    <w:rsid w:val="00A062DB"/>
    <w:rsid w:val="00A0652E"/>
    <w:rsid w:val="00A0780C"/>
    <w:rsid w:val="00A10F85"/>
    <w:rsid w:val="00A1100D"/>
    <w:rsid w:val="00A11AB3"/>
    <w:rsid w:val="00A1268E"/>
    <w:rsid w:val="00A1282E"/>
    <w:rsid w:val="00A131ED"/>
    <w:rsid w:val="00A149CE"/>
    <w:rsid w:val="00A14F01"/>
    <w:rsid w:val="00A1576E"/>
    <w:rsid w:val="00A15C06"/>
    <w:rsid w:val="00A160DF"/>
    <w:rsid w:val="00A1690C"/>
    <w:rsid w:val="00A1703E"/>
    <w:rsid w:val="00A17380"/>
    <w:rsid w:val="00A17F0E"/>
    <w:rsid w:val="00A20184"/>
    <w:rsid w:val="00A207AE"/>
    <w:rsid w:val="00A208AB"/>
    <w:rsid w:val="00A222A6"/>
    <w:rsid w:val="00A22901"/>
    <w:rsid w:val="00A2330C"/>
    <w:rsid w:val="00A23855"/>
    <w:rsid w:val="00A24742"/>
    <w:rsid w:val="00A24C20"/>
    <w:rsid w:val="00A269FF"/>
    <w:rsid w:val="00A279BE"/>
    <w:rsid w:val="00A3057A"/>
    <w:rsid w:val="00A3086E"/>
    <w:rsid w:val="00A30B97"/>
    <w:rsid w:val="00A30C60"/>
    <w:rsid w:val="00A31D55"/>
    <w:rsid w:val="00A31FDA"/>
    <w:rsid w:val="00A32744"/>
    <w:rsid w:val="00A32F7A"/>
    <w:rsid w:val="00A33888"/>
    <w:rsid w:val="00A33A06"/>
    <w:rsid w:val="00A33A36"/>
    <w:rsid w:val="00A340C8"/>
    <w:rsid w:val="00A34FB1"/>
    <w:rsid w:val="00A35163"/>
    <w:rsid w:val="00A35539"/>
    <w:rsid w:val="00A355F8"/>
    <w:rsid w:val="00A35636"/>
    <w:rsid w:val="00A36F3F"/>
    <w:rsid w:val="00A409D7"/>
    <w:rsid w:val="00A40E50"/>
    <w:rsid w:val="00A4152C"/>
    <w:rsid w:val="00A41FE9"/>
    <w:rsid w:val="00A42C34"/>
    <w:rsid w:val="00A438A0"/>
    <w:rsid w:val="00A43CD5"/>
    <w:rsid w:val="00A442EC"/>
    <w:rsid w:val="00A44562"/>
    <w:rsid w:val="00A449A8"/>
    <w:rsid w:val="00A44A95"/>
    <w:rsid w:val="00A45073"/>
    <w:rsid w:val="00A454AF"/>
    <w:rsid w:val="00A456E6"/>
    <w:rsid w:val="00A4643D"/>
    <w:rsid w:val="00A47CC7"/>
    <w:rsid w:val="00A501CB"/>
    <w:rsid w:val="00A50A95"/>
    <w:rsid w:val="00A50C99"/>
    <w:rsid w:val="00A511A1"/>
    <w:rsid w:val="00A51E92"/>
    <w:rsid w:val="00A51FEF"/>
    <w:rsid w:val="00A5328D"/>
    <w:rsid w:val="00A5406F"/>
    <w:rsid w:val="00A55158"/>
    <w:rsid w:val="00A560C9"/>
    <w:rsid w:val="00A56142"/>
    <w:rsid w:val="00A562A0"/>
    <w:rsid w:val="00A57BC9"/>
    <w:rsid w:val="00A60F02"/>
    <w:rsid w:val="00A613DF"/>
    <w:rsid w:val="00A620D8"/>
    <w:rsid w:val="00A627B2"/>
    <w:rsid w:val="00A62B40"/>
    <w:rsid w:val="00A63384"/>
    <w:rsid w:val="00A633E2"/>
    <w:rsid w:val="00A63519"/>
    <w:rsid w:val="00A63B60"/>
    <w:rsid w:val="00A64C6C"/>
    <w:rsid w:val="00A657BE"/>
    <w:rsid w:val="00A66C03"/>
    <w:rsid w:val="00A67471"/>
    <w:rsid w:val="00A6753E"/>
    <w:rsid w:val="00A67672"/>
    <w:rsid w:val="00A70611"/>
    <w:rsid w:val="00A70D09"/>
    <w:rsid w:val="00A71597"/>
    <w:rsid w:val="00A71B05"/>
    <w:rsid w:val="00A721C7"/>
    <w:rsid w:val="00A72406"/>
    <w:rsid w:val="00A72498"/>
    <w:rsid w:val="00A7276E"/>
    <w:rsid w:val="00A72E82"/>
    <w:rsid w:val="00A74A9F"/>
    <w:rsid w:val="00A7557A"/>
    <w:rsid w:val="00A7562E"/>
    <w:rsid w:val="00A75BEA"/>
    <w:rsid w:val="00A762F8"/>
    <w:rsid w:val="00A76797"/>
    <w:rsid w:val="00A77492"/>
    <w:rsid w:val="00A801B9"/>
    <w:rsid w:val="00A8107A"/>
    <w:rsid w:val="00A810F7"/>
    <w:rsid w:val="00A8151A"/>
    <w:rsid w:val="00A81D92"/>
    <w:rsid w:val="00A82806"/>
    <w:rsid w:val="00A83135"/>
    <w:rsid w:val="00A83482"/>
    <w:rsid w:val="00A836D3"/>
    <w:rsid w:val="00A844D4"/>
    <w:rsid w:val="00A84575"/>
    <w:rsid w:val="00A84793"/>
    <w:rsid w:val="00A84B81"/>
    <w:rsid w:val="00A84E2F"/>
    <w:rsid w:val="00A85E55"/>
    <w:rsid w:val="00A863A0"/>
    <w:rsid w:val="00A863C2"/>
    <w:rsid w:val="00A86761"/>
    <w:rsid w:val="00A86DEF"/>
    <w:rsid w:val="00A87393"/>
    <w:rsid w:val="00A87493"/>
    <w:rsid w:val="00A87D08"/>
    <w:rsid w:val="00A87F28"/>
    <w:rsid w:val="00A90474"/>
    <w:rsid w:val="00A90C38"/>
    <w:rsid w:val="00A9237E"/>
    <w:rsid w:val="00A92472"/>
    <w:rsid w:val="00A92A1F"/>
    <w:rsid w:val="00A92D43"/>
    <w:rsid w:val="00A935D0"/>
    <w:rsid w:val="00A93DDE"/>
    <w:rsid w:val="00A93E24"/>
    <w:rsid w:val="00A93E71"/>
    <w:rsid w:val="00A93ED3"/>
    <w:rsid w:val="00A949BD"/>
    <w:rsid w:val="00A958F0"/>
    <w:rsid w:val="00A959AA"/>
    <w:rsid w:val="00A95C71"/>
    <w:rsid w:val="00A962DC"/>
    <w:rsid w:val="00A96314"/>
    <w:rsid w:val="00A96397"/>
    <w:rsid w:val="00A9746E"/>
    <w:rsid w:val="00A974AB"/>
    <w:rsid w:val="00AA0003"/>
    <w:rsid w:val="00AA029D"/>
    <w:rsid w:val="00AA226C"/>
    <w:rsid w:val="00AA2588"/>
    <w:rsid w:val="00AA3FAA"/>
    <w:rsid w:val="00AA440C"/>
    <w:rsid w:val="00AA4ABA"/>
    <w:rsid w:val="00AA53DB"/>
    <w:rsid w:val="00AA58BC"/>
    <w:rsid w:val="00AA5952"/>
    <w:rsid w:val="00AA5CF5"/>
    <w:rsid w:val="00AA6B74"/>
    <w:rsid w:val="00AA6E38"/>
    <w:rsid w:val="00AA7110"/>
    <w:rsid w:val="00AA7255"/>
    <w:rsid w:val="00AB052A"/>
    <w:rsid w:val="00AB0551"/>
    <w:rsid w:val="00AB0686"/>
    <w:rsid w:val="00AB07E2"/>
    <w:rsid w:val="00AB1205"/>
    <w:rsid w:val="00AB129A"/>
    <w:rsid w:val="00AB1431"/>
    <w:rsid w:val="00AB341B"/>
    <w:rsid w:val="00AB425B"/>
    <w:rsid w:val="00AB4DF2"/>
    <w:rsid w:val="00AB4E9D"/>
    <w:rsid w:val="00AB5266"/>
    <w:rsid w:val="00AB60F2"/>
    <w:rsid w:val="00AB6EAC"/>
    <w:rsid w:val="00AC07F5"/>
    <w:rsid w:val="00AC112C"/>
    <w:rsid w:val="00AC1196"/>
    <w:rsid w:val="00AC2B04"/>
    <w:rsid w:val="00AC3C6A"/>
    <w:rsid w:val="00AC3F1E"/>
    <w:rsid w:val="00AC45EE"/>
    <w:rsid w:val="00AC4C6C"/>
    <w:rsid w:val="00AC4FD1"/>
    <w:rsid w:val="00AC5911"/>
    <w:rsid w:val="00AC667B"/>
    <w:rsid w:val="00AC799F"/>
    <w:rsid w:val="00AC7E42"/>
    <w:rsid w:val="00AD00CF"/>
    <w:rsid w:val="00AD0169"/>
    <w:rsid w:val="00AD019E"/>
    <w:rsid w:val="00AD0DB5"/>
    <w:rsid w:val="00AD1B70"/>
    <w:rsid w:val="00AD203A"/>
    <w:rsid w:val="00AD23B6"/>
    <w:rsid w:val="00AD3984"/>
    <w:rsid w:val="00AD3D2A"/>
    <w:rsid w:val="00AD424E"/>
    <w:rsid w:val="00AD42E4"/>
    <w:rsid w:val="00AD533C"/>
    <w:rsid w:val="00AD59C2"/>
    <w:rsid w:val="00AD5C0B"/>
    <w:rsid w:val="00AD64D5"/>
    <w:rsid w:val="00AD6A6E"/>
    <w:rsid w:val="00AD7025"/>
    <w:rsid w:val="00AD759E"/>
    <w:rsid w:val="00AD762E"/>
    <w:rsid w:val="00AD7660"/>
    <w:rsid w:val="00AE0B6C"/>
    <w:rsid w:val="00AE1079"/>
    <w:rsid w:val="00AE1296"/>
    <w:rsid w:val="00AE1BF6"/>
    <w:rsid w:val="00AE2A3C"/>
    <w:rsid w:val="00AE2DC5"/>
    <w:rsid w:val="00AE2DE1"/>
    <w:rsid w:val="00AE2FFF"/>
    <w:rsid w:val="00AE31FB"/>
    <w:rsid w:val="00AE34BD"/>
    <w:rsid w:val="00AE3DD0"/>
    <w:rsid w:val="00AE4C94"/>
    <w:rsid w:val="00AE561C"/>
    <w:rsid w:val="00AE5BA3"/>
    <w:rsid w:val="00AE5C07"/>
    <w:rsid w:val="00AE5D2C"/>
    <w:rsid w:val="00AE6205"/>
    <w:rsid w:val="00AE68D8"/>
    <w:rsid w:val="00AF091F"/>
    <w:rsid w:val="00AF102D"/>
    <w:rsid w:val="00AF1E10"/>
    <w:rsid w:val="00AF1F79"/>
    <w:rsid w:val="00AF2180"/>
    <w:rsid w:val="00AF21CA"/>
    <w:rsid w:val="00AF35B7"/>
    <w:rsid w:val="00AF3924"/>
    <w:rsid w:val="00AF3B75"/>
    <w:rsid w:val="00AF3D28"/>
    <w:rsid w:val="00AF4323"/>
    <w:rsid w:val="00AF4842"/>
    <w:rsid w:val="00AF489E"/>
    <w:rsid w:val="00AF4A7A"/>
    <w:rsid w:val="00AF4C75"/>
    <w:rsid w:val="00AF4D76"/>
    <w:rsid w:val="00AF5E56"/>
    <w:rsid w:val="00AF644A"/>
    <w:rsid w:val="00AF7C17"/>
    <w:rsid w:val="00AF7CCE"/>
    <w:rsid w:val="00B002C8"/>
    <w:rsid w:val="00B00335"/>
    <w:rsid w:val="00B02294"/>
    <w:rsid w:val="00B023B9"/>
    <w:rsid w:val="00B02670"/>
    <w:rsid w:val="00B02AC6"/>
    <w:rsid w:val="00B02D14"/>
    <w:rsid w:val="00B062B6"/>
    <w:rsid w:val="00B101CD"/>
    <w:rsid w:val="00B1044C"/>
    <w:rsid w:val="00B1075C"/>
    <w:rsid w:val="00B10E7B"/>
    <w:rsid w:val="00B127D7"/>
    <w:rsid w:val="00B143DC"/>
    <w:rsid w:val="00B14712"/>
    <w:rsid w:val="00B14937"/>
    <w:rsid w:val="00B14C20"/>
    <w:rsid w:val="00B14D2F"/>
    <w:rsid w:val="00B1507F"/>
    <w:rsid w:val="00B1543B"/>
    <w:rsid w:val="00B1668F"/>
    <w:rsid w:val="00B16DCF"/>
    <w:rsid w:val="00B17658"/>
    <w:rsid w:val="00B177DE"/>
    <w:rsid w:val="00B17CF6"/>
    <w:rsid w:val="00B20D19"/>
    <w:rsid w:val="00B21611"/>
    <w:rsid w:val="00B21653"/>
    <w:rsid w:val="00B21A1B"/>
    <w:rsid w:val="00B220E3"/>
    <w:rsid w:val="00B22220"/>
    <w:rsid w:val="00B22300"/>
    <w:rsid w:val="00B2297A"/>
    <w:rsid w:val="00B22E2C"/>
    <w:rsid w:val="00B23F36"/>
    <w:rsid w:val="00B24070"/>
    <w:rsid w:val="00B24126"/>
    <w:rsid w:val="00B24CA9"/>
    <w:rsid w:val="00B2564C"/>
    <w:rsid w:val="00B25836"/>
    <w:rsid w:val="00B25F9C"/>
    <w:rsid w:val="00B26348"/>
    <w:rsid w:val="00B26410"/>
    <w:rsid w:val="00B27D09"/>
    <w:rsid w:val="00B30684"/>
    <w:rsid w:val="00B32D97"/>
    <w:rsid w:val="00B32E4A"/>
    <w:rsid w:val="00B333A0"/>
    <w:rsid w:val="00B3550B"/>
    <w:rsid w:val="00B35B4A"/>
    <w:rsid w:val="00B360C3"/>
    <w:rsid w:val="00B36303"/>
    <w:rsid w:val="00B3650B"/>
    <w:rsid w:val="00B377C1"/>
    <w:rsid w:val="00B378B8"/>
    <w:rsid w:val="00B37A47"/>
    <w:rsid w:val="00B40205"/>
    <w:rsid w:val="00B421EB"/>
    <w:rsid w:val="00B42E72"/>
    <w:rsid w:val="00B433DA"/>
    <w:rsid w:val="00B44CC8"/>
    <w:rsid w:val="00B45508"/>
    <w:rsid w:val="00B45EFE"/>
    <w:rsid w:val="00B46405"/>
    <w:rsid w:val="00B46928"/>
    <w:rsid w:val="00B46E56"/>
    <w:rsid w:val="00B504A6"/>
    <w:rsid w:val="00B507E3"/>
    <w:rsid w:val="00B50A44"/>
    <w:rsid w:val="00B50AF6"/>
    <w:rsid w:val="00B50FAB"/>
    <w:rsid w:val="00B5129D"/>
    <w:rsid w:val="00B51F2A"/>
    <w:rsid w:val="00B52403"/>
    <w:rsid w:val="00B52A0E"/>
    <w:rsid w:val="00B53937"/>
    <w:rsid w:val="00B54004"/>
    <w:rsid w:val="00B54367"/>
    <w:rsid w:val="00B5441D"/>
    <w:rsid w:val="00B548F1"/>
    <w:rsid w:val="00B54A1D"/>
    <w:rsid w:val="00B54ECA"/>
    <w:rsid w:val="00B55E0D"/>
    <w:rsid w:val="00B55E15"/>
    <w:rsid w:val="00B56433"/>
    <w:rsid w:val="00B56DFD"/>
    <w:rsid w:val="00B576FE"/>
    <w:rsid w:val="00B601F4"/>
    <w:rsid w:val="00B60A4B"/>
    <w:rsid w:val="00B60C86"/>
    <w:rsid w:val="00B6197C"/>
    <w:rsid w:val="00B6316F"/>
    <w:rsid w:val="00B637C0"/>
    <w:rsid w:val="00B643B1"/>
    <w:rsid w:val="00B649C8"/>
    <w:rsid w:val="00B65FD3"/>
    <w:rsid w:val="00B661D6"/>
    <w:rsid w:val="00B66914"/>
    <w:rsid w:val="00B67213"/>
    <w:rsid w:val="00B672CD"/>
    <w:rsid w:val="00B67881"/>
    <w:rsid w:val="00B70119"/>
    <w:rsid w:val="00B71029"/>
    <w:rsid w:val="00B71C86"/>
    <w:rsid w:val="00B72006"/>
    <w:rsid w:val="00B7284E"/>
    <w:rsid w:val="00B72B29"/>
    <w:rsid w:val="00B730C1"/>
    <w:rsid w:val="00B733F7"/>
    <w:rsid w:val="00B73947"/>
    <w:rsid w:val="00B73D9F"/>
    <w:rsid w:val="00B73DC7"/>
    <w:rsid w:val="00B74535"/>
    <w:rsid w:val="00B74A78"/>
    <w:rsid w:val="00B75501"/>
    <w:rsid w:val="00B75F70"/>
    <w:rsid w:val="00B75FC3"/>
    <w:rsid w:val="00B774A6"/>
    <w:rsid w:val="00B803E3"/>
    <w:rsid w:val="00B8050B"/>
    <w:rsid w:val="00B8115D"/>
    <w:rsid w:val="00B818DA"/>
    <w:rsid w:val="00B83269"/>
    <w:rsid w:val="00B83293"/>
    <w:rsid w:val="00B856AF"/>
    <w:rsid w:val="00B85F71"/>
    <w:rsid w:val="00B861A5"/>
    <w:rsid w:val="00B863C6"/>
    <w:rsid w:val="00B864EA"/>
    <w:rsid w:val="00B87187"/>
    <w:rsid w:val="00B908BB"/>
    <w:rsid w:val="00B90922"/>
    <w:rsid w:val="00B913C2"/>
    <w:rsid w:val="00B917C6"/>
    <w:rsid w:val="00B9234A"/>
    <w:rsid w:val="00B92F00"/>
    <w:rsid w:val="00B938A5"/>
    <w:rsid w:val="00B940F5"/>
    <w:rsid w:val="00B94D03"/>
    <w:rsid w:val="00B962C0"/>
    <w:rsid w:val="00B9637A"/>
    <w:rsid w:val="00B96926"/>
    <w:rsid w:val="00B97A0F"/>
    <w:rsid w:val="00BA04C1"/>
    <w:rsid w:val="00BA08EF"/>
    <w:rsid w:val="00BA09D5"/>
    <w:rsid w:val="00BA148E"/>
    <w:rsid w:val="00BA17C2"/>
    <w:rsid w:val="00BA235F"/>
    <w:rsid w:val="00BA2A73"/>
    <w:rsid w:val="00BA3A04"/>
    <w:rsid w:val="00BA3EF6"/>
    <w:rsid w:val="00BA4C36"/>
    <w:rsid w:val="00BA5C94"/>
    <w:rsid w:val="00BA5D3E"/>
    <w:rsid w:val="00BA6349"/>
    <w:rsid w:val="00BA687B"/>
    <w:rsid w:val="00BA7B6F"/>
    <w:rsid w:val="00BB0B59"/>
    <w:rsid w:val="00BB11CE"/>
    <w:rsid w:val="00BB1BDD"/>
    <w:rsid w:val="00BB1F33"/>
    <w:rsid w:val="00BB1FA5"/>
    <w:rsid w:val="00BB2B35"/>
    <w:rsid w:val="00BB2D2B"/>
    <w:rsid w:val="00BB2F77"/>
    <w:rsid w:val="00BB3E4F"/>
    <w:rsid w:val="00BB4144"/>
    <w:rsid w:val="00BB4856"/>
    <w:rsid w:val="00BB4CCE"/>
    <w:rsid w:val="00BB612D"/>
    <w:rsid w:val="00BB61EB"/>
    <w:rsid w:val="00BB6689"/>
    <w:rsid w:val="00BB6B08"/>
    <w:rsid w:val="00BB6C60"/>
    <w:rsid w:val="00BB7AD3"/>
    <w:rsid w:val="00BC0B8E"/>
    <w:rsid w:val="00BC1410"/>
    <w:rsid w:val="00BC1656"/>
    <w:rsid w:val="00BC18D6"/>
    <w:rsid w:val="00BC191C"/>
    <w:rsid w:val="00BC22FB"/>
    <w:rsid w:val="00BC31B2"/>
    <w:rsid w:val="00BC338E"/>
    <w:rsid w:val="00BC45C1"/>
    <w:rsid w:val="00BC5F4D"/>
    <w:rsid w:val="00BC5FEC"/>
    <w:rsid w:val="00BC7A4D"/>
    <w:rsid w:val="00BC7E70"/>
    <w:rsid w:val="00BD0606"/>
    <w:rsid w:val="00BD0C6F"/>
    <w:rsid w:val="00BD108E"/>
    <w:rsid w:val="00BD11BB"/>
    <w:rsid w:val="00BD22D0"/>
    <w:rsid w:val="00BD4417"/>
    <w:rsid w:val="00BD4883"/>
    <w:rsid w:val="00BD67E9"/>
    <w:rsid w:val="00BD69B3"/>
    <w:rsid w:val="00BD71C4"/>
    <w:rsid w:val="00BD7EF0"/>
    <w:rsid w:val="00BE02DC"/>
    <w:rsid w:val="00BE0420"/>
    <w:rsid w:val="00BE27C1"/>
    <w:rsid w:val="00BE4325"/>
    <w:rsid w:val="00BE5243"/>
    <w:rsid w:val="00BE6AFF"/>
    <w:rsid w:val="00BE6CD9"/>
    <w:rsid w:val="00BE76B1"/>
    <w:rsid w:val="00BF09A3"/>
    <w:rsid w:val="00BF0B77"/>
    <w:rsid w:val="00BF1AC6"/>
    <w:rsid w:val="00BF20B5"/>
    <w:rsid w:val="00BF2C7D"/>
    <w:rsid w:val="00BF307E"/>
    <w:rsid w:val="00BF3251"/>
    <w:rsid w:val="00BF3C3D"/>
    <w:rsid w:val="00BF4BC8"/>
    <w:rsid w:val="00BF4C2E"/>
    <w:rsid w:val="00BF4DCA"/>
    <w:rsid w:val="00BF5964"/>
    <w:rsid w:val="00BF5F8D"/>
    <w:rsid w:val="00BF6378"/>
    <w:rsid w:val="00BF6CA4"/>
    <w:rsid w:val="00BF75B1"/>
    <w:rsid w:val="00C001C4"/>
    <w:rsid w:val="00C006EC"/>
    <w:rsid w:val="00C00D1F"/>
    <w:rsid w:val="00C02602"/>
    <w:rsid w:val="00C026A4"/>
    <w:rsid w:val="00C033EA"/>
    <w:rsid w:val="00C035B8"/>
    <w:rsid w:val="00C041B4"/>
    <w:rsid w:val="00C045C8"/>
    <w:rsid w:val="00C05110"/>
    <w:rsid w:val="00C05B34"/>
    <w:rsid w:val="00C064BA"/>
    <w:rsid w:val="00C0742A"/>
    <w:rsid w:val="00C07749"/>
    <w:rsid w:val="00C07D68"/>
    <w:rsid w:val="00C07DBF"/>
    <w:rsid w:val="00C11078"/>
    <w:rsid w:val="00C11C5F"/>
    <w:rsid w:val="00C11D6A"/>
    <w:rsid w:val="00C1212C"/>
    <w:rsid w:val="00C12586"/>
    <w:rsid w:val="00C12788"/>
    <w:rsid w:val="00C127F5"/>
    <w:rsid w:val="00C12D04"/>
    <w:rsid w:val="00C12DB5"/>
    <w:rsid w:val="00C12DEB"/>
    <w:rsid w:val="00C132CD"/>
    <w:rsid w:val="00C13F1C"/>
    <w:rsid w:val="00C14B04"/>
    <w:rsid w:val="00C15EE2"/>
    <w:rsid w:val="00C175A3"/>
    <w:rsid w:val="00C17F84"/>
    <w:rsid w:val="00C20D2A"/>
    <w:rsid w:val="00C2136B"/>
    <w:rsid w:val="00C22D81"/>
    <w:rsid w:val="00C23020"/>
    <w:rsid w:val="00C2423E"/>
    <w:rsid w:val="00C24E14"/>
    <w:rsid w:val="00C25302"/>
    <w:rsid w:val="00C25F34"/>
    <w:rsid w:val="00C26281"/>
    <w:rsid w:val="00C27610"/>
    <w:rsid w:val="00C27CA1"/>
    <w:rsid w:val="00C30001"/>
    <w:rsid w:val="00C304B4"/>
    <w:rsid w:val="00C30772"/>
    <w:rsid w:val="00C30E98"/>
    <w:rsid w:val="00C31904"/>
    <w:rsid w:val="00C31D2F"/>
    <w:rsid w:val="00C3240D"/>
    <w:rsid w:val="00C32438"/>
    <w:rsid w:val="00C32DD1"/>
    <w:rsid w:val="00C338C5"/>
    <w:rsid w:val="00C33C8C"/>
    <w:rsid w:val="00C34CBA"/>
    <w:rsid w:val="00C357E5"/>
    <w:rsid w:val="00C359DA"/>
    <w:rsid w:val="00C36118"/>
    <w:rsid w:val="00C36AD7"/>
    <w:rsid w:val="00C371EC"/>
    <w:rsid w:val="00C406F9"/>
    <w:rsid w:val="00C40F8C"/>
    <w:rsid w:val="00C41C3B"/>
    <w:rsid w:val="00C428B5"/>
    <w:rsid w:val="00C43323"/>
    <w:rsid w:val="00C43C39"/>
    <w:rsid w:val="00C443D9"/>
    <w:rsid w:val="00C451E5"/>
    <w:rsid w:val="00C45700"/>
    <w:rsid w:val="00C459C5"/>
    <w:rsid w:val="00C45B60"/>
    <w:rsid w:val="00C467A6"/>
    <w:rsid w:val="00C46F1D"/>
    <w:rsid w:val="00C47D0B"/>
    <w:rsid w:val="00C50319"/>
    <w:rsid w:val="00C507D3"/>
    <w:rsid w:val="00C52FCF"/>
    <w:rsid w:val="00C53543"/>
    <w:rsid w:val="00C536D5"/>
    <w:rsid w:val="00C537FD"/>
    <w:rsid w:val="00C53862"/>
    <w:rsid w:val="00C54AE5"/>
    <w:rsid w:val="00C54B5A"/>
    <w:rsid w:val="00C54CF9"/>
    <w:rsid w:val="00C54D0D"/>
    <w:rsid w:val="00C55E37"/>
    <w:rsid w:val="00C569B7"/>
    <w:rsid w:val="00C56BBD"/>
    <w:rsid w:val="00C57775"/>
    <w:rsid w:val="00C57977"/>
    <w:rsid w:val="00C57AFD"/>
    <w:rsid w:val="00C60781"/>
    <w:rsid w:val="00C60882"/>
    <w:rsid w:val="00C61477"/>
    <w:rsid w:val="00C620E1"/>
    <w:rsid w:val="00C623EE"/>
    <w:rsid w:val="00C62F85"/>
    <w:rsid w:val="00C63EEC"/>
    <w:rsid w:val="00C641D5"/>
    <w:rsid w:val="00C646C6"/>
    <w:rsid w:val="00C6535A"/>
    <w:rsid w:val="00C65942"/>
    <w:rsid w:val="00C65DE5"/>
    <w:rsid w:val="00C6660B"/>
    <w:rsid w:val="00C66807"/>
    <w:rsid w:val="00C66908"/>
    <w:rsid w:val="00C66ACF"/>
    <w:rsid w:val="00C66BF2"/>
    <w:rsid w:val="00C6736A"/>
    <w:rsid w:val="00C67596"/>
    <w:rsid w:val="00C67C01"/>
    <w:rsid w:val="00C67C44"/>
    <w:rsid w:val="00C70C86"/>
    <w:rsid w:val="00C7136A"/>
    <w:rsid w:val="00C715ED"/>
    <w:rsid w:val="00C717DB"/>
    <w:rsid w:val="00C71E5D"/>
    <w:rsid w:val="00C723A9"/>
    <w:rsid w:val="00C72504"/>
    <w:rsid w:val="00C7253B"/>
    <w:rsid w:val="00C73819"/>
    <w:rsid w:val="00C73829"/>
    <w:rsid w:val="00C73C36"/>
    <w:rsid w:val="00C73CE5"/>
    <w:rsid w:val="00C73E7D"/>
    <w:rsid w:val="00C744BF"/>
    <w:rsid w:val="00C74B8A"/>
    <w:rsid w:val="00C74C09"/>
    <w:rsid w:val="00C75FAE"/>
    <w:rsid w:val="00C7627F"/>
    <w:rsid w:val="00C76B6A"/>
    <w:rsid w:val="00C76F3D"/>
    <w:rsid w:val="00C77E88"/>
    <w:rsid w:val="00C80229"/>
    <w:rsid w:val="00C80790"/>
    <w:rsid w:val="00C8102F"/>
    <w:rsid w:val="00C82CA3"/>
    <w:rsid w:val="00C82E5E"/>
    <w:rsid w:val="00C82F7B"/>
    <w:rsid w:val="00C836B8"/>
    <w:rsid w:val="00C85348"/>
    <w:rsid w:val="00C85402"/>
    <w:rsid w:val="00C862D1"/>
    <w:rsid w:val="00C863F9"/>
    <w:rsid w:val="00C86400"/>
    <w:rsid w:val="00C86939"/>
    <w:rsid w:val="00C90359"/>
    <w:rsid w:val="00C903ED"/>
    <w:rsid w:val="00C9063A"/>
    <w:rsid w:val="00C90A71"/>
    <w:rsid w:val="00C90D1E"/>
    <w:rsid w:val="00C90E49"/>
    <w:rsid w:val="00C91395"/>
    <w:rsid w:val="00C91931"/>
    <w:rsid w:val="00C92CC5"/>
    <w:rsid w:val="00C92CEE"/>
    <w:rsid w:val="00C93067"/>
    <w:rsid w:val="00C93A63"/>
    <w:rsid w:val="00C93D07"/>
    <w:rsid w:val="00C9406A"/>
    <w:rsid w:val="00C94B74"/>
    <w:rsid w:val="00C94C6E"/>
    <w:rsid w:val="00C94FD2"/>
    <w:rsid w:val="00C954A6"/>
    <w:rsid w:val="00C956A1"/>
    <w:rsid w:val="00C96C3C"/>
    <w:rsid w:val="00C96C4E"/>
    <w:rsid w:val="00CA0563"/>
    <w:rsid w:val="00CA0690"/>
    <w:rsid w:val="00CA1DE9"/>
    <w:rsid w:val="00CA221D"/>
    <w:rsid w:val="00CA243A"/>
    <w:rsid w:val="00CA314F"/>
    <w:rsid w:val="00CA3BE7"/>
    <w:rsid w:val="00CA3D64"/>
    <w:rsid w:val="00CA484C"/>
    <w:rsid w:val="00CA48CD"/>
    <w:rsid w:val="00CA4B1B"/>
    <w:rsid w:val="00CA4B45"/>
    <w:rsid w:val="00CA4DF3"/>
    <w:rsid w:val="00CA4EDC"/>
    <w:rsid w:val="00CA5757"/>
    <w:rsid w:val="00CA5923"/>
    <w:rsid w:val="00CA596D"/>
    <w:rsid w:val="00CA6164"/>
    <w:rsid w:val="00CA6DF9"/>
    <w:rsid w:val="00CA715D"/>
    <w:rsid w:val="00CA7184"/>
    <w:rsid w:val="00CA77F3"/>
    <w:rsid w:val="00CA7984"/>
    <w:rsid w:val="00CB0143"/>
    <w:rsid w:val="00CB02E3"/>
    <w:rsid w:val="00CB05F8"/>
    <w:rsid w:val="00CB3175"/>
    <w:rsid w:val="00CB3415"/>
    <w:rsid w:val="00CB36DD"/>
    <w:rsid w:val="00CB3EA0"/>
    <w:rsid w:val="00CB4BEC"/>
    <w:rsid w:val="00CB501C"/>
    <w:rsid w:val="00CB60D9"/>
    <w:rsid w:val="00CB61D4"/>
    <w:rsid w:val="00CB6B2F"/>
    <w:rsid w:val="00CB6ECE"/>
    <w:rsid w:val="00CB7FF9"/>
    <w:rsid w:val="00CC0266"/>
    <w:rsid w:val="00CC07E8"/>
    <w:rsid w:val="00CC09C8"/>
    <w:rsid w:val="00CC1FFB"/>
    <w:rsid w:val="00CC21E5"/>
    <w:rsid w:val="00CC2413"/>
    <w:rsid w:val="00CC26ED"/>
    <w:rsid w:val="00CC3B59"/>
    <w:rsid w:val="00CC4168"/>
    <w:rsid w:val="00CC62AA"/>
    <w:rsid w:val="00CC649F"/>
    <w:rsid w:val="00CC6647"/>
    <w:rsid w:val="00CC66A0"/>
    <w:rsid w:val="00CD033F"/>
    <w:rsid w:val="00CD0807"/>
    <w:rsid w:val="00CD0ACC"/>
    <w:rsid w:val="00CD0EFD"/>
    <w:rsid w:val="00CD1081"/>
    <w:rsid w:val="00CD2DD4"/>
    <w:rsid w:val="00CD37FA"/>
    <w:rsid w:val="00CD46A3"/>
    <w:rsid w:val="00CD47E4"/>
    <w:rsid w:val="00CD50FC"/>
    <w:rsid w:val="00CD5501"/>
    <w:rsid w:val="00CD5596"/>
    <w:rsid w:val="00CE0A31"/>
    <w:rsid w:val="00CE0ACA"/>
    <w:rsid w:val="00CE0AFF"/>
    <w:rsid w:val="00CE0E09"/>
    <w:rsid w:val="00CE0F84"/>
    <w:rsid w:val="00CE1F4D"/>
    <w:rsid w:val="00CE34E9"/>
    <w:rsid w:val="00CE37EB"/>
    <w:rsid w:val="00CE3A25"/>
    <w:rsid w:val="00CE3E07"/>
    <w:rsid w:val="00CE516B"/>
    <w:rsid w:val="00CE5BED"/>
    <w:rsid w:val="00CE6DCD"/>
    <w:rsid w:val="00CE71BB"/>
    <w:rsid w:val="00CE7275"/>
    <w:rsid w:val="00CE763A"/>
    <w:rsid w:val="00CE7F43"/>
    <w:rsid w:val="00CF08DC"/>
    <w:rsid w:val="00CF0CD3"/>
    <w:rsid w:val="00CF0D07"/>
    <w:rsid w:val="00CF1082"/>
    <w:rsid w:val="00CF18B2"/>
    <w:rsid w:val="00CF1E02"/>
    <w:rsid w:val="00CF20B8"/>
    <w:rsid w:val="00CF2579"/>
    <w:rsid w:val="00CF3D77"/>
    <w:rsid w:val="00CF46D0"/>
    <w:rsid w:val="00CF4703"/>
    <w:rsid w:val="00CF49D7"/>
    <w:rsid w:val="00CF4BF9"/>
    <w:rsid w:val="00CF4DBE"/>
    <w:rsid w:val="00CF50BD"/>
    <w:rsid w:val="00CF54A2"/>
    <w:rsid w:val="00CF552A"/>
    <w:rsid w:val="00CF56E3"/>
    <w:rsid w:val="00CF6515"/>
    <w:rsid w:val="00CF6E1A"/>
    <w:rsid w:val="00D002C9"/>
    <w:rsid w:val="00D002CA"/>
    <w:rsid w:val="00D00D0A"/>
    <w:rsid w:val="00D00EB9"/>
    <w:rsid w:val="00D019BF"/>
    <w:rsid w:val="00D01B9E"/>
    <w:rsid w:val="00D02296"/>
    <w:rsid w:val="00D03481"/>
    <w:rsid w:val="00D03CCE"/>
    <w:rsid w:val="00D0441E"/>
    <w:rsid w:val="00D047CD"/>
    <w:rsid w:val="00D055C5"/>
    <w:rsid w:val="00D05B8F"/>
    <w:rsid w:val="00D0616A"/>
    <w:rsid w:val="00D061C7"/>
    <w:rsid w:val="00D0790E"/>
    <w:rsid w:val="00D1021F"/>
    <w:rsid w:val="00D10A9B"/>
    <w:rsid w:val="00D111E5"/>
    <w:rsid w:val="00D1127C"/>
    <w:rsid w:val="00D1130B"/>
    <w:rsid w:val="00D11613"/>
    <w:rsid w:val="00D11BEE"/>
    <w:rsid w:val="00D129CB"/>
    <w:rsid w:val="00D1353F"/>
    <w:rsid w:val="00D13746"/>
    <w:rsid w:val="00D13E97"/>
    <w:rsid w:val="00D13F6C"/>
    <w:rsid w:val="00D14567"/>
    <w:rsid w:val="00D15A21"/>
    <w:rsid w:val="00D15D4A"/>
    <w:rsid w:val="00D1616B"/>
    <w:rsid w:val="00D1675A"/>
    <w:rsid w:val="00D17174"/>
    <w:rsid w:val="00D175DC"/>
    <w:rsid w:val="00D17ADC"/>
    <w:rsid w:val="00D17F3F"/>
    <w:rsid w:val="00D217C7"/>
    <w:rsid w:val="00D22B4A"/>
    <w:rsid w:val="00D22B6C"/>
    <w:rsid w:val="00D22E8A"/>
    <w:rsid w:val="00D23348"/>
    <w:rsid w:val="00D238FB"/>
    <w:rsid w:val="00D24344"/>
    <w:rsid w:val="00D2471B"/>
    <w:rsid w:val="00D24C21"/>
    <w:rsid w:val="00D24C97"/>
    <w:rsid w:val="00D25113"/>
    <w:rsid w:val="00D25C66"/>
    <w:rsid w:val="00D25C6A"/>
    <w:rsid w:val="00D25EEB"/>
    <w:rsid w:val="00D27A4F"/>
    <w:rsid w:val="00D27B3C"/>
    <w:rsid w:val="00D27EAD"/>
    <w:rsid w:val="00D27F77"/>
    <w:rsid w:val="00D27FF2"/>
    <w:rsid w:val="00D30B21"/>
    <w:rsid w:val="00D32191"/>
    <w:rsid w:val="00D3253B"/>
    <w:rsid w:val="00D334D8"/>
    <w:rsid w:val="00D334E0"/>
    <w:rsid w:val="00D33D49"/>
    <w:rsid w:val="00D34B58"/>
    <w:rsid w:val="00D35140"/>
    <w:rsid w:val="00D35349"/>
    <w:rsid w:val="00D3733A"/>
    <w:rsid w:val="00D413CC"/>
    <w:rsid w:val="00D4142B"/>
    <w:rsid w:val="00D41CC8"/>
    <w:rsid w:val="00D41E6E"/>
    <w:rsid w:val="00D42A53"/>
    <w:rsid w:val="00D42AA2"/>
    <w:rsid w:val="00D4325E"/>
    <w:rsid w:val="00D4356B"/>
    <w:rsid w:val="00D44351"/>
    <w:rsid w:val="00D45621"/>
    <w:rsid w:val="00D45F02"/>
    <w:rsid w:val="00D46017"/>
    <w:rsid w:val="00D47007"/>
    <w:rsid w:val="00D471CC"/>
    <w:rsid w:val="00D5053B"/>
    <w:rsid w:val="00D505E0"/>
    <w:rsid w:val="00D52ED5"/>
    <w:rsid w:val="00D54A38"/>
    <w:rsid w:val="00D54C2A"/>
    <w:rsid w:val="00D5583A"/>
    <w:rsid w:val="00D55A52"/>
    <w:rsid w:val="00D55FB9"/>
    <w:rsid w:val="00D56805"/>
    <w:rsid w:val="00D578DB"/>
    <w:rsid w:val="00D57F59"/>
    <w:rsid w:val="00D6067C"/>
    <w:rsid w:val="00D60ED3"/>
    <w:rsid w:val="00D6117F"/>
    <w:rsid w:val="00D61260"/>
    <w:rsid w:val="00D613BD"/>
    <w:rsid w:val="00D61814"/>
    <w:rsid w:val="00D61EFF"/>
    <w:rsid w:val="00D61FD1"/>
    <w:rsid w:val="00D624D4"/>
    <w:rsid w:val="00D62633"/>
    <w:rsid w:val="00D6344C"/>
    <w:rsid w:val="00D63616"/>
    <w:rsid w:val="00D6384D"/>
    <w:rsid w:val="00D63AEA"/>
    <w:rsid w:val="00D64E87"/>
    <w:rsid w:val="00D65161"/>
    <w:rsid w:val="00D65C20"/>
    <w:rsid w:val="00D6659B"/>
    <w:rsid w:val="00D666E8"/>
    <w:rsid w:val="00D66875"/>
    <w:rsid w:val="00D669C4"/>
    <w:rsid w:val="00D66F99"/>
    <w:rsid w:val="00D67372"/>
    <w:rsid w:val="00D67A9E"/>
    <w:rsid w:val="00D700DD"/>
    <w:rsid w:val="00D701CB"/>
    <w:rsid w:val="00D75211"/>
    <w:rsid w:val="00D7576D"/>
    <w:rsid w:val="00D75961"/>
    <w:rsid w:val="00D76DE8"/>
    <w:rsid w:val="00D808F3"/>
    <w:rsid w:val="00D80ABA"/>
    <w:rsid w:val="00D80F29"/>
    <w:rsid w:val="00D814A4"/>
    <w:rsid w:val="00D818ED"/>
    <w:rsid w:val="00D81A90"/>
    <w:rsid w:val="00D82259"/>
    <w:rsid w:val="00D8381B"/>
    <w:rsid w:val="00D8398E"/>
    <w:rsid w:val="00D85414"/>
    <w:rsid w:val="00D85658"/>
    <w:rsid w:val="00D8570A"/>
    <w:rsid w:val="00D85DC9"/>
    <w:rsid w:val="00D86246"/>
    <w:rsid w:val="00D86651"/>
    <w:rsid w:val="00D90A48"/>
    <w:rsid w:val="00D90C41"/>
    <w:rsid w:val="00D925FA"/>
    <w:rsid w:val="00D93101"/>
    <w:rsid w:val="00D9314E"/>
    <w:rsid w:val="00D93B3E"/>
    <w:rsid w:val="00D946A3"/>
    <w:rsid w:val="00D949DA"/>
    <w:rsid w:val="00D94F0B"/>
    <w:rsid w:val="00D95048"/>
    <w:rsid w:val="00D95A7B"/>
    <w:rsid w:val="00D96371"/>
    <w:rsid w:val="00D966F5"/>
    <w:rsid w:val="00D979CE"/>
    <w:rsid w:val="00DA09B5"/>
    <w:rsid w:val="00DA360A"/>
    <w:rsid w:val="00DA48A8"/>
    <w:rsid w:val="00DA502C"/>
    <w:rsid w:val="00DA50EB"/>
    <w:rsid w:val="00DA5F95"/>
    <w:rsid w:val="00DA7FAF"/>
    <w:rsid w:val="00DB191E"/>
    <w:rsid w:val="00DB1ED6"/>
    <w:rsid w:val="00DB3F7E"/>
    <w:rsid w:val="00DB4077"/>
    <w:rsid w:val="00DB4DA8"/>
    <w:rsid w:val="00DB57B4"/>
    <w:rsid w:val="00DB6118"/>
    <w:rsid w:val="00DB65C5"/>
    <w:rsid w:val="00DB6762"/>
    <w:rsid w:val="00DB7241"/>
    <w:rsid w:val="00DB7FC1"/>
    <w:rsid w:val="00DC099E"/>
    <w:rsid w:val="00DC0E34"/>
    <w:rsid w:val="00DC24CE"/>
    <w:rsid w:val="00DC2D0F"/>
    <w:rsid w:val="00DC2F73"/>
    <w:rsid w:val="00DC376D"/>
    <w:rsid w:val="00DC4008"/>
    <w:rsid w:val="00DC4577"/>
    <w:rsid w:val="00DC49E6"/>
    <w:rsid w:val="00DC4B4C"/>
    <w:rsid w:val="00DC4CAA"/>
    <w:rsid w:val="00DC51CC"/>
    <w:rsid w:val="00DC571F"/>
    <w:rsid w:val="00DC5BBF"/>
    <w:rsid w:val="00DC62CE"/>
    <w:rsid w:val="00DC6867"/>
    <w:rsid w:val="00DC6B57"/>
    <w:rsid w:val="00DC6D71"/>
    <w:rsid w:val="00DC72F8"/>
    <w:rsid w:val="00DC799F"/>
    <w:rsid w:val="00DC7DE0"/>
    <w:rsid w:val="00DD107F"/>
    <w:rsid w:val="00DD16F4"/>
    <w:rsid w:val="00DD2C76"/>
    <w:rsid w:val="00DD3E55"/>
    <w:rsid w:val="00DD4108"/>
    <w:rsid w:val="00DD4206"/>
    <w:rsid w:val="00DD52A7"/>
    <w:rsid w:val="00DD5EB8"/>
    <w:rsid w:val="00DD6AED"/>
    <w:rsid w:val="00DD6E95"/>
    <w:rsid w:val="00DD74F6"/>
    <w:rsid w:val="00DD7707"/>
    <w:rsid w:val="00DD77E9"/>
    <w:rsid w:val="00DD7E11"/>
    <w:rsid w:val="00DE074A"/>
    <w:rsid w:val="00DE081C"/>
    <w:rsid w:val="00DE0F4A"/>
    <w:rsid w:val="00DE2AF2"/>
    <w:rsid w:val="00DE3261"/>
    <w:rsid w:val="00DE354B"/>
    <w:rsid w:val="00DE3D01"/>
    <w:rsid w:val="00DE4584"/>
    <w:rsid w:val="00DE4E98"/>
    <w:rsid w:val="00DE5F63"/>
    <w:rsid w:val="00DE6578"/>
    <w:rsid w:val="00DE6EE4"/>
    <w:rsid w:val="00DE7600"/>
    <w:rsid w:val="00DE7665"/>
    <w:rsid w:val="00DF15BB"/>
    <w:rsid w:val="00DF2749"/>
    <w:rsid w:val="00DF2FF5"/>
    <w:rsid w:val="00DF34E0"/>
    <w:rsid w:val="00DF38C0"/>
    <w:rsid w:val="00DF3BB9"/>
    <w:rsid w:val="00DF4140"/>
    <w:rsid w:val="00DF4951"/>
    <w:rsid w:val="00DF5270"/>
    <w:rsid w:val="00DF59CB"/>
    <w:rsid w:val="00DF6736"/>
    <w:rsid w:val="00DF68D8"/>
    <w:rsid w:val="00DF6910"/>
    <w:rsid w:val="00DF691C"/>
    <w:rsid w:val="00DF6D0B"/>
    <w:rsid w:val="00DF7E68"/>
    <w:rsid w:val="00DF7EB6"/>
    <w:rsid w:val="00DF7F06"/>
    <w:rsid w:val="00E00056"/>
    <w:rsid w:val="00E009FC"/>
    <w:rsid w:val="00E0121E"/>
    <w:rsid w:val="00E01402"/>
    <w:rsid w:val="00E0152B"/>
    <w:rsid w:val="00E01613"/>
    <w:rsid w:val="00E01C97"/>
    <w:rsid w:val="00E02108"/>
    <w:rsid w:val="00E0298D"/>
    <w:rsid w:val="00E02C0B"/>
    <w:rsid w:val="00E02CFD"/>
    <w:rsid w:val="00E03073"/>
    <w:rsid w:val="00E03F08"/>
    <w:rsid w:val="00E0504D"/>
    <w:rsid w:val="00E05B51"/>
    <w:rsid w:val="00E069EA"/>
    <w:rsid w:val="00E07E96"/>
    <w:rsid w:val="00E11924"/>
    <w:rsid w:val="00E12705"/>
    <w:rsid w:val="00E12D94"/>
    <w:rsid w:val="00E12F91"/>
    <w:rsid w:val="00E138EB"/>
    <w:rsid w:val="00E13A0A"/>
    <w:rsid w:val="00E13B31"/>
    <w:rsid w:val="00E148DB"/>
    <w:rsid w:val="00E14C7E"/>
    <w:rsid w:val="00E15BE2"/>
    <w:rsid w:val="00E16B77"/>
    <w:rsid w:val="00E177D1"/>
    <w:rsid w:val="00E179EF"/>
    <w:rsid w:val="00E201DE"/>
    <w:rsid w:val="00E20F46"/>
    <w:rsid w:val="00E22105"/>
    <w:rsid w:val="00E227A6"/>
    <w:rsid w:val="00E2306B"/>
    <w:rsid w:val="00E24426"/>
    <w:rsid w:val="00E24A2D"/>
    <w:rsid w:val="00E26E5D"/>
    <w:rsid w:val="00E302F8"/>
    <w:rsid w:val="00E314DD"/>
    <w:rsid w:val="00E31795"/>
    <w:rsid w:val="00E32C9A"/>
    <w:rsid w:val="00E33635"/>
    <w:rsid w:val="00E33EB1"/>
    <w:rsid w:val="00E34A19"/>
    <w:rsid w:val="00E34D0F"/>
    <w:rsid w:val="00E35769"/>
    <w:rsid w:val="00E359FD"/>
    <w:rsid w:val="00E36517"/>
    <w:rsid w:val="00E37832"/>
    <w:rsid w:val="00E37C90"/>
    <w:rsid w:val="00E40DEB"/>
    <w:rsid w:val="00E41138"/>
    <w:rsid w:val="00E41CEE"/>
    <w:rsid w:val="00E41E22"/>
    <w:rsid w:val="00E42154"/>
    <w:rsid w:val="00E422F9"/>
    <w:rsid w:val="00E425B6"/>
    <w:rsid w:val="00E43875"/>
    <w:rsid w:val="00E43DE0"/>
    <w:rsid w:val="00E43F9A"/>
    <w:rsid w:val="00E44584"/>
    <w:rsid w:val="00E4502C"/>
    <w:rsid w:val="00E452EF"/>
    <w:rsid w:val="00E45811"/>
    <w:rsid w:val="00E4685D"/>
    <w:rsid w:val="00E46E37"/>
    <w:rsid w:val="00E4723E"/>
    <w:rsid w:val="00E502A7"/>
    <w:rsid w:val="00E511F0"/>
    <w:rsid w:val="00E525D0"/>
    <w:rsid w:val="00E52746"/>
    <w:rsid w:val="00E530E1"/>
    <w:rsid w:val="00E53605"/>
    <w:rsid w:val="00E53D22"/>
    <w:rsid w:val="00E53EBB"/>
    <w:rsid w:val="00E55A3A"/>
    <w:rsid w:val="00E56F98"/>
    <w:rsid w:val="00E57085"/>
    <w:rsid w:val="00E572EE"/>
    <w:rsid w:val="00E60348"/>
    <w:rsid w:val="00E61033"/>
    <w:rsid w:val="00E618E5"/>
    <w:rsid w:val="00E62C90"/>
    <w:rsid w:val="00E63396"/>
    <w:rsid w:val="00E63C77"/>
    <w:rsid w:val="00E6481E"/>
    <w:rsid w:val="00E64D49"/>
    <w:rsid w:val="00E651A7"/>
    <w:rsid w:val="00E657A0"/>
    <w:rsid w:val="00E659D0"/>
    <w:rsid w:val="00E65CB7"/>
    <w:rsid w:val="00E66A91"/>
    <w:rsid w:val="00E67475"/>
    <w:rsid w:val="00E70A9A"/>
    <w:rsid w:val="00E70B52"/>
    <w:rsid w:val="00E70E3A"/>
    <w:rsid w:val="00E73003"/>
    <w:rsid w:val="00E73AB2"/>
    <w:rsid w:val="00E7401F"/>
    <w:rsid w:val="00E747DC"/>
    <w:rsid w:val="00E75AD5"/>
    <w:rsid w:val="00E75E99"/>
    <w:rsid w:val="00E75EDE"/>
    <w:rsid w:val="00E76A08"/>
    <w:rsid w:val="00E77B60"/>
    <w:rsid w:val="00E8041B"/>
    <w:rsid w:val="00E8103B"/>
    <w:rsid w:val="00E81252"/>
    <w:rsid w:val="00E81397"/>
    <w:rsid w:val="00E817E2"/>
    <w:rsid w:val="00E829B2"/>
    <w:rsid w:val="00E832B9"/>
    <w:rsid w:val="00E83E2B"/>
    <w:rsid w:val="00E84307"/>
    <w:rsid w:val="00E8578D"/>
    <w:rsid w:val="00E85D5A"/>
    <w:rsid w:val="00E85D9B"/>
    <w:rsid w:val="00E86535"/>
    <w:rsid w:val="00E9006A"/>
    <w:rsid w:val="00E90AAB"/>
    <w:rsid w:val="00E90EB4"/>
    <w:rsid w:val="00E911F3"/>
    <w:rsid w:val="00E9123F"/>
    <w:rsid w:val="00E91285"/>
    <w:rsid w:val="00E9133D"/>
    <w:rsid w:val="00E91A95"/>
    <w:rsid w:val="00E9237B"/>
    <w:rsid w:val="00E930C6"/>
    <w:rsid w:val="00E93CBB"/>
    <w:rsid w:val="00E941EA"/>
    <w:rsid w:val="00E957C7"/>
    <w:rsid w:val="00E95954"/>
    <w:rsid w:val="00E959E8"/>
    <w:rsid w:val="00E95E2B"/>
    <w:rsid w:val="00E97641"/>
    <w:rsid w:val="00E97D47"/>
    <w:rsid w:val="00E97FF8"/>
    <w:rsid w:val="00EA05E3"/>
    <w:rsid w:val="00EA070C"/>
    <w:rsid w:val="00EA11AC"/>
    <w:rsid w:val="00EA11DF"/>
    <w:rsid w:val="00EA129C"/>
    <w:rsid w:val="00EA21E4"/>
    <w:rsid w:val="00EA3C02"/>
    <w:rsid w:val="00EA3F1B"/>
    <w:rsid w:val="00EA49CE"/>
    <w:rsid w:val="00EA544E"/>
    <w:rsid w:val="00EA5FCE"/>
    <w:rsid w:val="00EA6647"/>
    <w:rsid w:val="00EA70B9"/>
    <w:rsid w:val="00EB16BC"/>
    <w:rsid w:val="00EB1A01"/>
    <w:rsid w:val="00EB2FD6"/>
    <w:rsid w:val="00EB381E"/>
    <w:rsid w:val="00EB7378"/>
    <w:rsid w:val="00EB78EA"/>
    <w:rsid w:val="00EB78FF"/>
    <w:rsid w:val="00EB7DD8"/>
    <w:rsid w:val="00EC0FF4"/>
    <w:rsid w:val="00EC2E9D"/>
    <w:rsid w:val="00EC3376"/>
    <w:rsid w:val="00EC3B5A"/>
    <w:rsid w:val="00EC3BA2"/>
    <w:rsid w:val="00EC41C9"/>
    <w:rsid w:val="00EC4268"/>
    <w:rsid w:val="00EC487F"/>
    <w:rsid w:val="00EC4B31"/>
    <w:rsid w:val="00EC4DA1"/>
    <w:rsid w:val="00EC510F"/>
    <w:rsid w:val="00EC538F"/>
    <w:rsid w:val="00EC5797"/>
    <w:rsid w:val="00EC6053"/>
    <w:rsid w:val="00EC665B"/>
    <w:rsid w:val="00EC68DF"/>
    <w:rsid w:val="00EC7616"/>
    <w:rsid w:val="00EC7812"/>
    <w:rsid w:val="00ED0B89"/>
    <w:rsid w:val="00ED15A8"/>
    <w:rsid w:val="00ED1746"/>
    <w:rsid w:val="00ED19D2"/>
    <w:rsid w:val="00ED1A20"/>
    <w:rsid w:val="00ED1A75"/>
    <w:rsid w:val="00ED23AC"/>
    <w:rsid w:val="00ED27B9"/>
    <w:rsid w:val="00ED2C3B"/>
    <w:rsid w:val="00ED36B6"/>
    <w:rsid w:val="00ED3FEA"/>
    <w:rsid w:val="00ED406A"/>
    <w:rsid w:val="00ED4757"/>
    <w:rsid w:val="00ED4B9D"/>
    <w:rsid w:val="00ED51F1"/>
    <w:rsid w:val="00ED5437"/>
    <w:rsid w:val="00ED5BA0"/>
    <w:rsid w:val="00ED5FD2"/>
    <w:rsid w:val="00ED642C"/>
    <w:rsid w:val="00ED6D88"/>
    <w:rsid w:val="00ED7384"/>
    <w:rsid w:val="00ED766B"/>
    <w:rsid w:val="00ED785A"/>
    <w:rsid w:val="00ED7C37"/>
    <w:rsid w:val="00EE06DB"/>
    <w:rsid w:val="00EE11B8"/>
    <w:rsid w:val="00EE1FE6"/>
    <w:rsid w:val="00EE3A7E"/>
    <w:rsid w:val="00EE3C20"/>
    <w:rsid w:val="00EE4531"/>
    <w:rsid w:val="00EE49EF"/>
    <w:rsid w:val="00EE4F29"/>
    <w:rsid w:val="00EE5B05"/>
    <w:rsid w:val="00EE66F3"/>
    <w:rsid w:val="00EE6C7B"/>
    <w:rsid w:val="00EE7193"/>
    <w:rsid w:val="00EF083A"/>
    <w:rsid w:val="00EF09AD"/>
    <w:rsid w:val="00EF0A62"/>
    <w:rsid w:val="00EF0D47"/>
    <w:rsid w:val="00EF1533"/>
    <w:rsid w:val="00EF1BD5"/>
    <w:rsid w:val="00EF33A3"/>
    <w:rsid w:val="00EF34FB"/>
    <w:rsid w:val="00EF454C"/>
    <w:rsid w:val="00EF4E48"/>
    <w:rsid w:val="00EF5B80"/>
    <w:rsid w:val="00EF628D"/>
    <w:rsid w:val="00EF6883"/>
    <w:rsid w:val="00EF6A13"/>
    <w:rsid w:val="00EF71BB"/>
    <w:rsid w:val="00EF7675"/>
    <w:rsid w:val="00EF7811"/>
    <w:rsid w:val="00F006F7"/>
    <w:rsid w:val="00F01BC0"/>
    <w:rsid w:val="00F02600"/>
    <w:rsid w:val="00F02820"/>
    <w:rsid w:val="00F02BDE"/>
    <w:rsid w:val="00F02C5F"/>
    <w:rsid w:val="00F03638"/>
    <w:rsid w:val="00F03F9D"/>
    <w:rsid w:val="00F04043"/>
    <w:rsid w:val="00F04B3A"/>
    <w:rsid w:val="00F04D2A"/>
    <w:rsid w:val="00F05288"/>
    <w:rsid w:val="00F053C5"/>
    <w:rsid w:val="00F059FE"/>
    <w:rsid w:val="00F05CD4"/>
    <w:rsid w:val="00F06C98"/>
    <w:rsid w:val="00F06D20"/>
    <w:rsid w:val="00F07951"/>
    <w:rsid w:val="00F1089E"/>
    <w:rsid w:val="00F10D06"/>
    <w:rsid w:val="00F11B7B"/>
    <w:rsid w:val="00F11C7B"/>
    <w:rsid w:val="00F12773"/>
    <w:rsid w:val="00F127E9"/>
    <w:rsid w:val="00F13F35"/>
    <w:rsid w:val="00F141E2"/>
    <w:rsid w:val="00F14203"/>
    <w:rsid w:val="00F1496C"/>
    <w:rsid w:val="00F14DC6"/>
    <w:rsid w:val="00F16088"/>
    <w:rsid w:val="00F1721D"/>
    <w:rsid w:val="00F17972"/>
    <w:rsid w:val="00F17E9C"/>
    <w:rsid w:val="00F20661"/>
    <w:rsid w:val="00F20919"/>
    <w:rsid w:val="00F20973"/>
    <w:rsid w:val="00F20DDE"/>
    <w:rsid w:val="00F21218"/>
    <w:rsid w:val="00F21D28"/>
    <w:rsid w:val="00F22272"/>
    <w:rsid w:val="00F22351"/>
    <w:rsid w:val="00F22AA1"/>
    <w:rsid w:val="00F22C9B"/>
    <w:rsid w:val="00F22FE1"/>
    <w:rsid w:val="00F24903"/>
    <w:rsid w:val="00F25CCF"/>
    <w:rsid w:val="00F27599"/>
    <w:rsid w:val="00F30C0D"/>
    <w:rsid w:val="00F322EA"/>
    <w:rsid w:val="00F32819"/>
    <w:rsid w:val="00F32C3E"/>
    <w:rsid w:val="00F32C45"/>
    <w:rsid w:val="00F34EC6"/>
    <w:rsid w:val="00F3501F"/>
    <w:rsid w:val="00F35FE1"/>
    <w:rsid w:val="00F40758"/>
    <w:rsid w:val="00F40797"/>
    <w:rsid w:val="00F40B2B"/>
    <w:rsid w:val="00F40D3F"/>
    <w:rsid w:val="00F40EF6"/>
    <w:rsid w:val="00F41551"/>
    <w:rsid w:val="00F41C41"/>
    <w:rsid w:val="00F41C73"/>
    <w:rsid w:val="00F425BD"/>
    <w:rsid w:val="00F42C89"/>
    <w:rsid w:val="00F43344"/>
    <w:rsid w:val="00F43BB0"/>
    <w:rsid w:val="00F43D0A"/>
    <w:rsid w:val="00F43F2F"/>
    <w:rsid w:val="00F4552A"/>
    <w:rsid w:val="00F46230"/>
    <w:rsid w:val="00F46967"/>
    <w:rsid w:val="00F46BAA"/>
    <w:rsid w:val="00F479D9"/>
    <w:rsid w:val="00F500F5"/>
    <w:rsid w:val="00F501B3"/>
    <w:rsid w:val="00F5077D"/>
    <w:rsid w:val="00F5128E"/>
    <w:rsid w:val="00F513D3"/>
    <w:rsid w:val="00F51844"/>
    <w:rsid w:val="00F51B06"/>
    <w:rsid w:val="00F52127"/>
    <w:rsid w:val="00F52349"/>
    <w:rsid w:val="00F5283B"/>
    <w:rsid w:val="00F5299D"/>
    <w:rsid w:val="00F52B6E"/>
    <w:rsid w:val="00F53D6B"/>
    <w:rsid w:val="00F54BC8"/>
    <w:rsid w:val="00F5574B"/>
    <w:rsid w:val="00F55AB5"/>
    <w:rsid w:val="00F56DFD"/>
    <w:rsid w:val="00F57363"/>
    <w:rsid w:val="00F575C4"/>
    <w:rsid w:val="00F57A5D"/>
    <w:rsid w:val="00F57D0A"/>
    <w:rsid w:val="00F57F6F"/>
    <w:rsid w:val="00F60056"/>
    <w:rsid w:val="00F60B47"/>
    <w:rsid w:val="00F60DB3"/>
    <w:rsid w:val="00F60F09"/>
    <w:rsid w:val="00F61C59"/>
    <w:rsid w:val="00F6306C"/>
    <w:rsid w:val="00F63D18"/>
    <w:rsid w:val="00F6455B"/>
    <w:rsid w:val="00F64BF3"/>
    <w:rsid w:val="00F665CA"/>
    <w:rsid w:val="00F66882"/>
    <w:rsid w:val="00F6738C"/>
    <w:rsid w:val="00F67C86"/>
    <w:rsid w:val="00F70767"/>
    <w:rsid w:val="00F714A4"/>
    <w:rsid w:val="00F715F8"/>
    <w:rsid w:val="00F71F2F"/>
    <w:rsid w:val="00F71FF4"/>
    <w:rsid w:val="00F728FD"/>
    <w:rsid w:val="00F732C7"/>
    <w:rsid w:val="00F73B93"/>
    <w:rsid w:val="00F73CED"/>
    <w:rsid w:val="00F7423E"/>
    <w:rsid w:val="00F748FB"/>
    <w:rsid w:val="00F74D78"/>
    <w:rsid w:val="00F753FA"/>
    <w:rsid w:val="00F754AD"/>
    <w:rsid w:val="00F75691"/>
    <w:rsid w:val="00F76393"/>
    <w:rsid w:val="00F766B2"/>
    <w:rsid w:val="00F76D0A"/>
    <w:rsid w:val="00F76E06"/>
    <w:rsid w:val="00F775C4"/>
    <w:rsid w:val="00F819AE"/>
    <w:rsid w:val="00F81FEB"/>
    <w:rsid w:val="00F821E9"/>
    <w:rsid w:val="00F82DEF"/>
    <w:rsid w:val="00F83AA9"/>
    <w:rsid w:val="00F83CE2"/>
    <w:rsid w:val="00F84144"/>
    <w:rsid w:val="00F847BC"/>
    <w:rsid w:val="00F84891"/>
    <w:rsid w:val="00F84E09"/>
    <w:rsid w:val="00F858E5"/>
    <w:rsid w:val="00F85FB2"/>
    <w:rsid w:val="00F87137"/>
    <w:rsid w:val="00F8721F"/>
    <w:rsid w:val="00F87994"/>
    <w:rsid w:val="00F879A6"/>
    <w:rsid w:val="00F90A4F"/>
    <w:rsid w:val="00F91CB1"/>
    <w:rsid w:val="00F921BC"/>
    <w:rsid w:val="00F92EC7"/>
    <w:rsid w:val="00F92FCB"/>
    <w:rsid w:val="00F9334F"/>
    <w:rsid w:val="00F93A47"/>
    <w:rsid w:val="00F9405C"/>
    <w:rsid w:val="00F94067"/>
    <w:rsid w:val="00F947E7"/>
    <w:rsid w:val="00F95662"/>
    <w:rsid w:val="00F96823"/>
    <w:rsid w:val="00F96A11"/>
    <w:rsid w:val="00F97015"/>
    <w:rsid w:val="00F975B9"/>
    <w:rsid w:val="00F979E6"/>
    <w:rsid w:val="00F97EE7"/>
    <w:rsid w:val="00FA08A0"/>
    <w:rsid w:val="00FA0935"/>
    <w:rsid w:val="00FA101D"/>
    <w:rsid w:val="00FA1B23"/>
    <w:rsid w:val="00FA1FAF"/>
    <w:rsid w:val="00FA2A14"/>
    <w:rsid w:val="00FA2AA2"/>
    <w:rsid w:val="00FA2BD1"/>
    <w:rsid w:val="00FA54B3"/>
    <w:rsid w:val="00FA5C9C"/>
    <w:rsid w:val="00FA5CB2"/>
    <w:rsid w:val="00FA5ECF"/>
    <w:rsid w:val="00FA7329"/>
    <w:rsid w:val="00FA75F2"/>
    <w:rsid w:val="00FA7CC6"/>
    <w:rsid w:val="00FA7DFE"/>
    <w:rsid w:val="00FB0170"/>
    <w:rsid w:val="00FB245A"/>
    <w:rsid w:val="00FB265A"/>
    <w:rsid w:val="00FB29F2"/>
    <w:rsid w:val="00FB3189"/>
    <w:rsid w:val="00FB3302"/>
    <w:rsid w:val="00FB4174"/>
    <w:rsid w:val="00FB4732"/>
    <w:rsid w:val="00FB4FA1"/>
    <w:rsid w:val="00FB51CC"/>
    <w:rsid w:val="00FB57F2"/>
    <w:rsid w:val="00FB59B7"/>
    <w:rsid w:val="00FB6372"/>
    <w:rsid w:val="00FB7223"/>
    <w:rsid w:val="00FB7287"/>
    <w:rsid w:val="00FB7377"/>
    <w:rsid w:val="00FC0617"/>
    <w:rsid w:val="00FC132C"/>
    <w:rsid w:val="00FC1B13"/>
    <w:rsid w:val="00FC20F7"/>
    <w:rsid w:val="00FC2347"/>
    <w:rsid w:val="00FC379A"/>
    <w:rsid w:val="00FC4007"/>
    <w:rsid w:val="00FC46BB"/>
    <w:rsid w:val="00FC4D10"/>
    <w:rsid w:val="00FC5531"/>
    <w:rsid w:val="00FC5664"/>
    <w:rsid w:val="00FC56D5"/>
    <w:rsid w:val="00FC70BB"/>
    <w:rsid w:val="00FC7460"/>
    <w:rsid w:val="00FC7E1F"/>
    <w:rsid w:val="00FD129F"/>
    <w:rsid w:val="00FD1A42"/>
    <w:rsid w:val="00FD1C31"/>
    <w:rsid w:val="00FD1F5B"/>
    <w:rsid w:val="00FD2409"/>
    <w:rsid w:val="00FD262B"/>
    <w:rsid w:val="00FD2A35"/>
    <w:rsid w:val="00FD3143"/>
    <w:rsid w:val="00FD4FDC"/>
    <w:rsid w:val="00FD5728"/>
    <w:rsid w:val="00FD761E"/>
    <w:rsid w:val="00FD7C55"/>
    <w:rsid w:val="00FE0038"/>
    <w:rsid w:val="00FE1506"/>
    <w:rsid w:val="00FE1EDF"/>
    <w:rsid w:val="00FE3256"/>
    <w:rsid w:val="00FE33D9"/>
    <w:rsid w:val="00FE3478"/>
    <w:rsid w:val="00FE3EF2"/>
    <w:rsid w:val="00FE46FD"/>
    <w:rsid w:val="00FE47FF"/>
    <w:rsid w:val="00FE61DC"/>
    <w:rsid w:val="00FE6679"/>
    <w:rsid w:val="00FE6964"/>
    <w:rsid w:val="00FE7689"/>
    <w:rsid w:val="00FE76B3"/>
    <w:rsid w:val="00FE7D42"/>
    <w:rsid w:val="00FE7E89"/>
    <w:rsid w:val="00FF1AF7"/>
    <w:rsid w:val="00FF2765"/>
    <w:rsid w:val="00FF48DC"/>
    <w:rsid w:val="00FF59C9"/>
    <w:rsid w:val="00FF7717"/>
    <w:rsid w:val="00FF7AFF"/>
    <w:rsid w:val="00FF7B96"/>
    <w:rsid w:val="00FF7BB9"/>
    <w:rsid w:val="00FF7EF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0AE7D6FD"/>
  <w15:docId w15:val="{E8A1BC44-E6BE-4DB3-838C-0DC6C9B6F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06F7"/>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iPriority w:val="35"/>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リスト段落,列出段落,列"/>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 w:type="paragraph" w:styleId="FootnoteText">
    <w:name w:val="footnote text"/>
    <w:basedOn w:val="Normal"/>
    <w:link w:val="FootnoteTextChar"/>
    <w:uiPriority w:val="99"/>
    <w:unhideWhenUsed/>
    <w:rsid w:val="00D6067C"/>
    <w:pPr>
      <w:spacing w:after="0"/>
    </w:pPr>
    <w:rPr>
      <w:rFonts w:eastAsiaTheme="minorHAnsi"/>
      <w:lang w:val="en-US"/>
    </w:rPr>
  </w:style>
  <w:style w:type="character" w:customStyle="1" w:styleId="FootnoteTextChar">
    <w:name w:val="Footnote Text Char"/>
    <w:basedOn w:val="DefaultParagraphFont"/>
    <w:link w:val="FootnoteText"/>
    <w:uiPriority w:val="99"/>
    <w:rsid w:val="00D6067C"/>
    <w:rPr>
      <w:rFonts w:eastAsiaTheme="minorHAnsi"/>
      <w:lang w:val="en-US" w:eastAsia="en-US"/>
    </w:rPr>
  </w:style>
  <w:style w:type="character" w:styleId="FootnoteReference">
    <w:name w:val="footnote reference"/>
    <w:basedOn w:val="DefaultParagraphFont"/>
    <w:uiPriority w:val="99"/>
    <w:unhideWhenUsed/>
    <w:rsid w:val="00D6067C"/>
    <w:rPr>
      <w:vertAlign w:val="superscript"/>
    </w:rPr>
  </w:style>
  <w:style w:type="character" w:customStyle="1" w:styleId="10">
    <w:name w:val="未解決のメンション1"/>
    <w:basedOn w:val="DefaultParagraphFont"/>
    <w:uiPriority w:val="99"/>
    <w:semiHidden/>
    <w:unhideWhenUsed/>
    <w:rsid w:val="00083A64"/>
    <w:rPr>
      <w:color w:val="605E5C"/>
      <w:shd w:val="clear" w:color="auto" w:fill="E1DFDD"/>
    </w:rPr>
  </w:style>
  <w:style w:type="character" w:customStyle="1" w:styleId="normaltextrun">
    <w:name w:val="normaltextrun"/>
    <w:basedOn w:val="DefaultParagraphFont"/>
    <w:rsid w:val="004C0B33"/>
  </w:style>
  <w:style w:type="character" w:customStyle="1" w:styleId="eop">
    <w:name w:val="eop"/>
    <w:basedOn w:val="DefaultParagraphFont"/>
    <w:rsid w:val="004C0B33"/>
  </w:style>
  <w:style w:type="character" w:customStyle="1" w:styleId="UnresolvedMention2">
    <w:name w:val="Unresolved Mention2"/>
    <w:basedOn w:val="DefaultParagraphFont"/>
    <w:uiPriority w:val="99"/>
    <w:semiHidden/>
    <w:unhideWhenUsed/>
    <w:rsid w:val="00C22D81"/>
    <w:rPr>
      <w:color w:val="605E5C"/>
      <w:shd w:val="clear" w:color="auto" w:fill="E1DFDD"/>
    </w:rPr>
  </w:style>
  <w:style w:type="character" w:styleId="PlaceholderText">
    <w:name w:val="Placeholder Text"/>
    <w:basedOn w:val="DefaultParagraphFont"/>
    <w:uiPriority w:val="99"/>
    <w:semiHidden/>
    <w:rsid w:val="00E20F46"/>
    <w:rPr>
      <w:color w:val="808080"/>
    </w:rPr>
  </w:style>
  <w:style w:type="character" w:customStyle="1" w:styleId="UnresolvedMention3">
    <w:name w:val="Unresolved Mention3"/>
    <w:basedOn w:val="DefaultParagraphFont"/>
    <w:uiPriority w:val="99"/>
    <w:semiHidden/>
    <w:unhideWhenUsed/>
    <w:rsid w:val="00711D4B"/>
    <w:rPr>
      <w:color w:val="605E5C"/>
      <w:shd w:val="clear" w:color="auto" w:fill="E1DFDD"/>
    </w:rPr>
  </w:style>
  <w:style w:type="character" w:customStyle="1" w:styleId="UnresolvedMention4">
    <w:name w:val="Unresolved Mention4"/>
    <w:basedOn w:val="DefaultParagraphFont"/>
    <w:uiPriority w:val="99"/>
    <w:semiHidden/>
    <w:unhideWhenUsed/>
    <w:rsid w:val="009E5BF1"/>
    <w:rPr>
      <w:color w:val="605E5C"/>
      <w:shd w:val="clear" w:color="auto" w:fill="E1DFDD"/>
    </w:rPr>
  </w:style>
  <w:style w:type="character" w:styleId="UnresolvedMention">
    <w:name w:val="Unresolved Mention"/>
    <w:basedOn w:val="DefaultParagraphFont"/>
    <w:uiPriority w:val="99"/>
    <w:semiHidden/>
    <w:unhideWhenUsed/>
    <w:rsid w:val="009848B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0530">
      <w:bodyDiv w:val="1"/>
      <w:marLeft w:val="0"/>
      <w:marRight w:val="0"/>
      <w:marTop w:val="0"/>
      <w:marBottom w:val="0"/>
      <w:divBdr>
        <w:top w:val="none" w:sz="0" w:space="0" w:color="auto"/>
        <w:left w:val="none" w:sz="0" w:space="0" w:color="auto"/>
        <w:bottom w:val="none" w:sz="0" w:space="0" w:color="auto"/>
        <w:right w:val="none" w:sz="0" w:space="0" w:color="auto"/>
      </w:divBdr>
    </w:div>
    <w:div w:id="4209990">
      <w:bodyDiv w:val="1"/>
      <w:marLeft w:val="0"/>
      <w:marRight w:val="0"/>
      <w:marTop w:val="0"/>
      <w:marBottom w:val="0"/>
      <w:divBdr>
        <w:top w:val="none" w:sz="0" w:space="0" w:color="auto"/>
        <w:left w:val="none" w:sz="0" w:space="0" w:color="auto"/>
        <w:bottom w:val="none" w:sz="0" w:space="0" w:color="auto"/>
        <w:right w:val="none" w:sz="0" w:space="0" w:color="auto"/>
      </w:divBdr>
    </w:div>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2099473">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35853440">
      <w:bodyDiv w:val="1"/>
      <w:marLeft w:val="0"/>
      <w:marRight w:val="0"/>
      <w:marTop w:val="0"/>
      <w:marBottom w:val="0"/>
      <w:divBdr>
        <w:top w:val="none" w:sz="0" w:space="0" w:color="auto"/>
        <w:left w:val="none" w:sz="0" w:space="0" w:color="auto"/>
        <w:bottom w:val="none" w:sz="0" w:space="0" w:color="auto"/>
        <w:right w:val="none" w:sz="0" w:space="0" w:color="auto"/>
      </w:divBdr>
    </w:div>
    <w:div w:id="52429227">
      <w:bodyDiv w:val="1"/>
      <w:marLeft w:val="0"/>
      <w:marRight w:val="0"/>
      <w:marTop w:val="0"/>
      <w:marBottom w:val="0"/>
      <w:divBdr>
        <w:top w:val="none" w:sz="0" w:space="0" w:color="auto"/>
        <w:left w:val="none" w:sz="0" w:space="0" w:color="auto"/>
        <w:bottom w:val="none" w:sz="0" w:space="0" w:color="auto"/>
        <w:right w:val="none" w:sz="0" w:space="0" w:color="auto"/>
      </w:divBdr>
    </w:div>
    <w:div w:id="59209121">
      <w:bodyDiv w:val="1"/>
      <w:marLeft w:val="0"/>
      <w:marRight w:val="0"/>
      <w:marTop w:val="0"/>
      <w:marBottom w:val="0"/>
      <w:divBdr>
        <w:top w:val="none" w:sz="0" w:space="0" w:color="auto"/>
        <w:left w:val="none" w:sz="0" w:space="0" w:color="auto"/>
        <w:bottom w:val="none" w:sz="0" w:space="0" w:color="auto"/>
        <w:right w:val="none" w:sz="0" w:space="0" w:color="auto"/>
      </w:divBdr>
    </w:div>
    <w:div w:id="62456282">
      <w:bodyDiv w:val="1"/>
      <w:marLeft w:val="0"/>
      <w:marRight w:val="0"/>
      <w:marTop w:val="0"/>
      <w:marBottom w:val="0"/>
      <w:divBdr>
        <w:top w:val="none" w:sz="0" w:space="0" w:color="auto"/>
        <w:left w:val="none" w:sz="0" w:space="0" w:color="auto"/>
        <w:bottom w:val="none" w:sz="0" w:space="0" w:color="auto"/>
        <w:right w:val="none" w:sz="0" w:space="0" w:color="auto"/>
      </w:divBdr>
    </w:div>
    <w:div w:id="92405945">
      <w:bodyDiv w:val="1"/>
      <w:marLeft w:val="0"/>
      <w:marRight w:val="0"/>
      <w:marTop w:val="0"/>
      <w:marBottom w:val="0"/>
      <w:divBdr>
        <w:top w:val="none" w:sz="0" w:space="0" w:color="auto"/>
        <w:left w:val="none" w:sz="0" w:space="0" w:color="auto"/>
        <w:bottom w:val="none" w:sz="0" w:space="0" w:color="auto"/>
        <w:right w:val="none" w:sz="0" w:space="0" w:color="auto"/>
      </w:divBdr>
    </w:div>
    <w:div w:id="98913894">
      <w:bodyDiv w:val="1"/>
      <w:marLeft w:val="0"/>
      <w:marRight w:val="0"/>
      <w:marTop w:val="0"/>
      <w:marBottom w:val="0"/>
      <w:divBdr>
        <w:top w:val="none" w:sz="0" w:space="0" w:color="auto"/>
        <w:left w:val="none" w:sz="0" w:space="0" w:color="auto"/>
        <w:bottom w:val="none" w:sz="0" w:space="0" w:color="auto"/>
        <w:right w:val="none" w:sz="0" w:space="0" w:color="auto"/>
      </w:divBdr>
    </w:div>
    <w:div w:id="111215785">
      <w:bodyDiv w:val="1"/>
      <w:marLeft w:val="0"/>
      <w:marRight w:val="0"/>
      <w:marTop w:val="0"/>
      <w:marBottom w:val="0"/>
      <w:divBdr>
        <w:top w:val="none" w:sz="0" w:space="0" w:color="auto"/>
        <w:left w:val="none" w:sz="0" w:space="0" w:color="auto"/>
        <w:bottom w:val="none" w:sz="0" w:space="0" w:color="auto"/>
        <w:right w:val="none" w:sz="0" w:space="0" w:color="auto"/>
      </w:divBdr>
    </w:div>
    <w:div w:id="112067719">
      <w:bodyDiv w:val="1"/>
      <w:marLeft w:val="0"/>
      <w:marRight w:val="0"/>
      <w:marTop w:val="0"/>
      <w:marBottom w:val="0"/>
      <w:divBdr>
        <w:top w:val="none" w:sz="0" w:space="0" w:color="auto"/>
        <w:left w:val="none" w:sz="0" w:space="0" w:color="auto"/>
        <w:bottom w:val="none" w:sz="0" w:space="0" w:color="auto"/>
        <w:right w:val="none" w:sz="0" w:space="0" w:color="auto"/>
      </w:divBdr>
    </w:div>
    <w:div w:id="143739599">
      <w:bodyDiv w:val="1"/>
      <w:marLeft w:val="0"/>
      <w:marRight w:val="0"/>
      <w:marTop w:val="0"/>
      <w:marBottom w:val="0"/>
      <w:divBdr>
        <w:top w:val="none" w:sz="0" w:space="0" w:color="auto"/>
        <w:left w:val="none" w:sz="0" w:space="0" w:color="auto"/>
        <w:bottom w:val="none" w:sz="0" w:space="0" w:color="auto"/>
        <w:right w:val="none" w:sz="0" w:space="0" w:color="auto"/>
      </w:divBdr>
    </w:div>
    <w:div w:id="144856881">
      <w:bodyDiv w:val="1"/>
      <w:marLeft w:val="0"/>
      <w:marRight w:val="0"/>
      <w:marTop w:val="0"/>
      <w:marBottom w:val="0"/>
      <w:divBdr>
        <w:top w:val="none" w:sz="0" w:space="0" w:color="auto"/>
        <w:left w:val="none" w:sz="0" w:space="0" w:color="auto"/>
        <w:bottom w:val="none" w:sz="0" w:space="0" w:color="auto"/>
        <w:right w:val="none" w:sz="0" w:space="0" w:color="auto"/>
      </w:divBdr>
    </w:div>
    <w:div w:id="152988237">
      <w:bodyDiv w:val="1"/>
      <w:marLeft w:val="0"/>
      <w:marRight w:val="0"/>
      <w:marTop w:val="0"/>
      <w:marBottom w:val="0"/>
      <w:divBdr>
        <w:top w:val="none" w:sz="0" w:space="0" w:color="auto"/>
        <w:left w:val="none" w:sz="0" w:space="0" w:color="auto"/>
        <w:bottom w:val="none" w:sz="0" w:space="0" w:color="auto"/>
        <w:right w:val="none" w:sz="0" w:space="0" w:color="auto"/>
      </w:divBdr>
    </w:div>
    <w:div w:id="180557638">
      <w:bodyDiv w:val="1"/>
      <w:marLeft w:val="0"/>
      <w:marRight w:val="0"/>
      <w:marTop w:val="0"/>
      <w:marBottom w:val="0"/>
      <w:divBdr>
        <w:top w:val="none" w:sz="0" w:space="0" w:color="auto"/>
        <w:left w:val="none" w:sz="0" w:space="0" w:color="auto"/>
        <w:bottom w:val="none" w:sz="0" w:space="0" w:color="auto"/>
        <w:right w:val="none" w:sz="0" w:space="0" w:color="auto"/>
      </w:divBdr>
    </w:div>
    <w:div w:id="190454388">
      <w:bodyDiv w:val="1"/>
      <w:marLeft w:val="0"/>
      <w:marRight w:val="0"/>
      <w:marTop w:val="0"/>
      <w:marBottom w:val="0"/>
      <w:divBdr>
        <w:top w:val="none" w:sz="0" w:space="0" w:color="auto"/>
        <w:left w:val="none" w:sz="0" w:space="0" w:color="auto"/>
        <w:bottom w:val="none" w:sz="0" w:space="0" w:color="auto"/>
        <w:right w:val="none" w:sz="0" w:space="0" w:color="auto"/>
      </w:divBdr>
    </w:div>
    <w:div w:id="196236896">
      <w:bodyDiv w:val="1"/>
      <w:marLeft w:val="0"/>
      <w:marRight w:val="0"/>
      <w:marTop w:val="0"/>
      <w:marBottom w:val="0"/>
      <w:divBdr>
        <w:top w:val="none" w:sz="0" w:space="0" w:color="auto"/>
        <w:left w:val="none" w:sz="0" w:space="0" w:color="auto"/>
        <w:bottom w:val="none" w:sz="0" w:space="0" w:color="auto"/>
        <w:right w:val="none" w:sz="0" w:space="0" w:color="auto"/>
      </w:divBdr>
    </w:div>
    <w:div w:id="230507658">
      <w:bodyDiv w:val="1"/>
      <w:marLeft w:val="0"/>
      <w:marRight w:val="0"/>
      <w:marTop w:val="0"/>
      <w:marBottom w:val="0"/>
      <w:divBdr>
        <w:top w:val="none" w:sz="0" w:space="0" w:color="auto"/>
        <w:left w:val="none" w:sz="0" w:space="0" w:color="auto"/>
        <w:bottom w:val="none" w:sz="0" w:space="0" w:color="auto"/>
        <w:right w:val="none" w:sz="0" w:space="0" w:color="auto"/>
      </w:divBdr>
    </w:div>
    <w:div w:id="230585438">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33466653">
      <w:bodyDiv w:val="1"/>
      <w:marLeft w:val="0"/>
      <w:marRight w:val="0"/>
      <w:marTop w:val="0"/>
      <w:marBottom w:val="0"/>
      <w:divBdr>
        <w:top w:val="none" w:sz="0" w:space="0" w:color="auto"/>
        <w:left w:val="none" w:sz="0" w:space="0" w:color="auto"/>
        <w:bottom w:val="none" w:sz="0" w:space="0" w:color="auto"/>
        <w:right w:val="none" w:sz="0" w:space="0" w:color="auto"/>
      </w:divBdr>
    </w:div>
    <w:div w:id="252982669">
      <w:bodyDiv w:val="1"/>
      <w:marLeft w:val="0"/>
      <w:marRight w:val="0"/>
      <w:marTop w:val="0"/>
      <w:marBottom w:val="0"/>
      <w:divBdr>
        <w:top w:val="none" w:sz="0" w:space="0" w:color="auto"/>
        <w:left w:val="none" w:sz="0" w:space="0" w:color="auto"/>
        <w:bottom w:val="none" w:sz="0" w:space="0" w:color="auto"/>
        <w:right w:val="none" w:sz="0" w:space="0" w:color="auto"/>
      </w:divBdr>
    </w:div>
    <w:div w:id="255292264">
      <w:bodyDiv w:val="1"/>
      <w:marLeft w:val="0"/>
      <w:marRight w:val="0"/>
      <w:marTop w:val="0"/>
      <w:marBottom w:val="0"/>
      <w:divBdr>
        <w:top w:val="none" w:sz="0" w:space="0" w:color="auto"/>
        <w:left w:val="none" w:sz="0" w:space="0" w:color="auto"/>
        <w:bottom w:val="none" w:sz="0" w:space="0" w:color="auto"/>
        <w:right w:val="none" w:sz="0" w:space="0" w:color="auto"/>
      </w:divBdr>
    </w:div>
    <w:div w:id="257493782">
      <w:bodyDiv w:val="1"/>
      <w:marLeft w:val="0"/>
      <w:marRight w:val="0"/>
      <w:marTop w:val="0"/>
      <w:marBottom w:val="0"/>
      <w:divBdr>
        <w:top w:val="none" w:sz="0" w:space="0" w:color="auto"/>
        <w:left w:val="none" w:sz="0" w:space="0" w:color="auto"/>
        <w:bottom w:val="none" w:sz="0" w:space="0" w:color="auto"/>
        <w:right w:val="none" w:sz="0" w:space="0" w:color="auto"/>
      </w:divBdr>
    </w:div>
    <w:div w:id="260139237">
      <w:bodyDiv w:val="1"/>
      <w:marLeft w:val="0"/>
      <w:marRight w:val="0"/>
      <w:marTop w:val="0"/>
      <w:marBottom w:val="0"/>
      <w:divBdr>
        <w:top w:val="none" w:sz="0" w:space="0" w:color="auto"/>
        <w:left w:val="none" w:sz="0" w:space="0" w:color="auto"/>
        <w:bottom w:val="none" w:sz="0" w:space="0" w:color="auto"/>
        <w:right w:val="none" w:sz="0" w:space="0" w:color="auto"/>
      </w:divBdr>
    </w:div>
    <w:div w:id="273220761">
      <w:bodyDiv w:val="1"/>
      <w:marLeft w:val="0"/>
      <w:marRight w:val="0"/>
      <w:marTop w:val="0"/>
      <w:marBottom w:val="0"/>
      <w:divBdr>
        <w:top w:val="none" w:sz="0" w:space="0" w:color="auto"/>
        <w:left w:val="none" w:sz="0" w:space="0" w:color="auto"/>
        <w:bottom w:val="none" w:sz="0" w:space="0" w:color="auto"/>
        <w:right w:val="none" w:sz="0" w:space="0" w:color="auto"/>
      </w:divBdr>
    </w:div>
    <w:div w:id="288053731">
      <w:bodyDiv w:val="1"/>
      <w:marLeft w:val="0"/>
      <w:marRight w:val="0"/>
      <w:marTop w:val="0"/>
      <w:marBottom w:val="0"/>
      <w:divBdr>
        <w:top w:val="none" w:sz="0" w:space="0" w:color="auto"/>
        <w:left w:val="none" w:sz="0" w:space="0" w:color="auto"/>
        <w:bottom w:val="none" w:sz="0" w:space="0" w:color="auto"/>
        <w:right w:val="none" w:sz="0" w:space="0" w:color="auto"/>
      </w:divBdr>
    </w:div>
    <w:div w:id="288824536">
      <w:bodyDiv w:val="1"/>
      <w:marLeft w:val="0"/>
      <w:marRight w:val="0"/>
      <w:marTop w:val="0"/>
      <w:marBottom w:val="0"/>
      <w:divBdr>
        <w:top w:val="none" w:sz="0" w:space="0" w:color="auto"/>
        <w:left w:val="none" w:sz="0" w:space="0" w:color="auto"/>
        <w:bottom w:val="none" w:sz="0" w:space="0" w:color="auto"/>
        <w:right w:val="none" w:sz="0" w:space="0" w:color="auto"/>
      </w:divBdr>
    </w:div>
    <w:div w:id="304940163">
      <w:bodyDiv w:val="1"/>
      <w:marLeft w:val="0"/>
      <w:marRight w:val="0"/>
      <w:marTop w:val="0"/>
      <w:marBottom w:val="0"/>
      <w:divBdr>
        <w:top w:val="none" w:sz="0" w:space="0" w:color="auto"/>
        <w:left w:val="none" w:sz="0" w:space="0" w:color="auto"/>
        <w:bottom w:val="none" w:sz="0" w:space="0" w:color="auto"/>
        <w:right w:val="none" w:sz="0" w:space="0" w:color="auto"/>
      </w:divBdr>
    </w:div>
    <w:div w:id="318651750">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46293882">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386883489">
      <w:bodyDiv w:val="1"/>
      <w:marLeft w:val="0"/>
      <w:marRight w:val="0"/>
      <w:marTop w:val="0"/>
      <w:marBottom w:val="0"/>
      <w:divBdr>
        <w:top w:val="none" w:sz="0" w:space="0" w:color="auto"/>
        <w:left w:val="none" w:sz="0" w:space="0" w:color="auto"/>
        <w:bottom w:val="none" w:sz="0" w:space="0" w:color="auto"/>
        <w:right w:val="none" w:sz="0" w:space="0" w:color="auto"/>
      </w:divBdr>
    </w:div>
    <w:div w:id="404108445">
      <w:bodyDiv w:val="1"/>
      <w:marLeft w:val="0"/>
      <w:marRight w:val="0"/>
      <w:marTop w:val="0"/>
      <w:marBottom w:val="0"/>
      <w:divBdr>
        <w:top w:val="none" w:sz="0" w:space="0" w:color="auto"/>
        <w:left w:val="none" w:sz="0" w:space="0" w:color="auto"/>
        <w:bottom w:val="none" w:sz="0" w:space="0" w:color="auto"/>
        <w:right w:val="none" w:sz="0" w:space="0" w:color="auto"/>
      </w:divBdr>
    </w:div>
    <w:div w:id="404453520">
      <w:bodyDiv w:val="1"/>
      <w:marLeft w:val="0"/>
      <w:marRight w:val="0"/>
      <w:marTop w:val="0"/>
      <w:marBottom w:val="0"/>
      <w:divBdr>
        <w:top w:val="none" w:sz="0" w:space="0" w:color="auto"/>
        <w:left w:val="none" w:sz="0" w:space="0" w:color="auto"/>
        <w:bottom w:val="none" w:sz="0" w:space="0" w:color="auto"/>
        <w:right w:val="none" w:sz="0" w:space="0" w:color="auto"/>
      </w:divBdr>
    </w:div>
    <w:div w:id="409354071">
      <w:bodyDiv w:val="1"/>
      <w:marLeft w:val="0"/>
      <w:marRight w:val="0"/>
      <w:marTop w:val="0"/>
      <w:marBottom w:val="0"/>
      <w:divBdr>
        <w:top w:val="none" w:sz="0" w:space="0" w:color="auto"/>
        <w:left w:val="none" w:sz="0" w:space="0" w:color="auto"/>
        <w:bottom w:val="none" w:sz="0" w:space="0" w:color="auto"/>
        <w:right w:val="none" w:sz="0" w:space="0" w:color="auto"/>
      </w:divBdr>
    </w:div>
    <w:div w:id="413666655">
      <w:bodyDiv w:val="1"/>
      <w:marLeft w:val="0"/>
      <w:marRight w:val="0"/>
      <w:marTop w:val="0"/>
      <w:marBottom w:val="0"/>
      <w:divBdr>
        <w:top w:val="none" w:sz="0" w:space="0" w:color="auto"/>
        <w:left w:val="none" w:sz="0" w:space="0" w:color="auto"/>
        <w:bottom w:val="none" w:sz="0" w:space="0" w:color="auto"/>
        <w:right w:val="none" w:sz="0" w:space="0" w:color="auto"/>
      </w:divBdr>
    </w:div>
    <w:div w:id="420875841">
      <w:bodyDiv w:val="1"/>
      <w:marLeft w:val="0"/>
      <w:marRight w:val="0"/>
      <w:marTop w:val="0"/>
      <w:marBottom w:val="0"/>
      <w:divBdr>
        <w:top w:val="none" w:sz="0" w:space="0" w:color="auto"/>
        <w:left w:val="none" w:sz="0" w:space="0" w:color="auto"/>
        <w:bottom w:val="none" w:sz="0" w:space="0" w:color="auto"/>
        <w:right w:val="none" w:sz="0" w:space="0" w:color="auto"/>
      </w:divBdr>
    </w:div>
    <w:div w:id="423578561">
      <w:bodyDiv w:val="1"/>
      <w:marLeft w:val="0"/>
      <w:marRight w:val="0"/>
      <w:marTop w:val="0"/>
      <w:marBottom w:val="0"/>
      <w:divBdr>
        <w:top w:val="none" w:sz="0" w:space="0" w:color="auto"/>
        <w:left w:val="none" w:sz="0" w:space="0" w:color="auto"/>
        <w:bottom w:val="none" w:sz="0" w:space="0" w:color="auto"/>
        <w:right w:val="none" w:sz="0" w:space="0" w:color="auto"/>
      </w:divBdr>
    </w:div>
    <w:div w:id="428082439">
      <w:bodyDiv w:val="1"/>
      <w:marLeft w:val="0"/>
      <w:marRight w:val="0"/>
      <w:marTop w:val="0"/>
      <w:marBottom w:val="0"/>
      <w:divBdr>
        <w:top w:val="none" w:sz="0" w:space="0" w:color="auto"/>
        <w:left w:val="none" w:sz="0" w:space="0" w:color="auto"/>
        <w:bottom w:val="none" w:sz="0" w:space="0" w:color="auto"/>
        <w:right w:val="none" w:sz="0" w:space="0" w:color="auto"/>
      </w:divBdr>
    </w:div>
    <w:div w:id="437262830">
      <w:bodyDiv w:val="1"/>
      <w:marLeft w:val="0"/>
      <w:marRight w:val="0"/>
      <w:marTop w:val="0"/>
      <w:marBottom w:val="0"/>
      <w:divBdr>
        <w:top w:val="none" w:sz="0" w:space="0" w:color="auto"/>
        <w:left w:val="none" w:sz="0" w:space="0" w:color="auto"/>
        <w:bottom w:val="none" w:sz="0" w:space="0" w:color="auto"/>
        <w:right w:val="none" w:sz="0" w:space="0" w:color="auto"/>
      </w:divBdr>
    </w:div>
    <w:div w:id="441532787">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45999473">
      <w:bodyDiv w:val="1"/>
      <w:marLeft w:val="0"/>
      <w:marRight w:val="0"/>
      <w:marTop w:val="0"/>
      <w:marBottom w:val="0"/>
      <w:divBdr>
        <w:top w:val="none" w:sz="0" w:space="0" w:color="auto"/>
        <w:left w:val="none" w:sz="0" w:space="0" w:color="auto"/>
        <w:bottom w:val="none" w:sz="0" w:space="0" w:color="auto"/>
        <w:right w:val="none" w:sz="0" w:space="0" w:color="auto"/>
      </w:divBdr>
    </w:div>
    <w:div w:id="450520212">
      <w:bodyDiv w:val="1"/>
      <w:marLeft w:val="0"/>
      <w:marRight w:val="0"/>
      <w:marTop w:val="0"/>
      <w:marBottom w:val="0"/>
      <w:divBdr>
        <w:top w:val="none" w:sz="0" w:space="0" w:color="auto"/>
        <w:left w:val="none" w:sz="0" w:space="0" w:color="auto"/>
        <w:bottom w:val="none" w:sz="0" w:space="0" w:color="auto"/>
        <w:right w:val="none" w:sz="0" w:space="0" w:color="auto"/>
      </w:divBdr>
    </w:div>
    <w:div w:id="451361166">
      <w:bodyDiv w:val="1"/>
      <w:marLeft w:val="0"/>
      <w:marRight w:val="0"/>
      <w:marTop w:val="0"/>
      <w:marBottom w:val="0"/>
      <w:divBdr>
        <w:top w:val="none" w:sz="0" w:space="0" w:color="auto"/>
        <w:left w:val="none" w:sz="0" w:space="0" w:color="auto"/>
        <w:bottom w:val="none" w:sz="0" w:space="0" w:color="auto"/>
        <w:right w:val="none" w:sz="0" w:space="0" w:color="auto"/>
      </w:divBdr>
    </w:div>
    <w:div w:id="465977840">
      <w:bodyDiv w:val="1"/>
      <w:marLeft w:val="0"/>
      <w:marRight w:val="0"/>
      <w:marTop w:val="0"/>
      <w:marBottom w:val="0"/>
      <w:divBdr>
        <w:top w:val="none" w:sz="0" w:space="0" w:color="auto"/>
        <w:left w:val="none" w:sz="0" w:space="0" w:color="auto"/>
        <w:bottom w:val="none" w:sz="0" w:space="0" w:color="auto"/>
        <w:right w:val="none" w:sz="0" w:space="0" w:color="auto"/>
      </w:divBdr>
    </w:div>
    <w:div w:id="470292397">
      <w:bodyDiv w:val="1"/>
      <w:marLeft w:val="0"/>
      <w:marRight w:val="0"/>
      <w:marTop w:val="0"/>
      <w:marBottom w:val="0"/>
      <w:divBdr>
        <w:top w:val="none" w:sz="0" w:space="0" w:color="auto"/>
        <w:left w:val="none" w:sz="0" w:space="0" w:color="auto"/>
        <w:bottom w:val="none" w:sz="0" w:space="0" w:color="auto"/>
        <w:right w:val="none" w:sz="0" w:space="0" w:color="auto"/>
      </w:divBdr>
    </w:div>
    <w:div w:id="477040405">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06480027">
      <w:bodyDiv w:val="1"/>
      <w:marLeft w:val="0"/>
      <w:marRight w:val="0"/>
      <w:marTop w:val="0"/>
      <w:marBottom w:val="0"/>
      <w:divBdr>
        <w:top w:val="none" w:sz="0" w:space="0" w:color="auto"/>
        <w:left w:val="none" w:sz="0" w:space="0" w:color="auto"/>
        <w:bottom w:val="none" w:sz="0" w:space="0" w:color="auto"/>
        <w:right w:val="none" w:sz="0" w:space="0" w:color="auto"/>
      </w:divBdr>
    </w:div>
    <w:div w:id="506946996">
      <w:bodyDiv w:val="1"/>
      <w:marLeft w:val="0"/>
      <w:marRight w:val="0"/>
      <w:marTop w:val="0"/>
      <w:marBottom w:val="0"/>
      <w:divBdr>
        <w:top w:val="none" w:sz="0" w:space="0" w:color="auto"/>
        <w:left w:val="none" w:sz="0" w:space="0" w:color="auto"/>
        <w:bottom w:val="none" w:sz="0" w:space="0" w:color="auto"/>
        <w:right w:val="none" w:sz="0" w:space="0" w:color="auto"/>
      </w:divBdr>
    </w:div>
    <w:div w:id="509104335">
      <w:bodyDiv w:val="1"/>
      <w:marLeft w:val="0"/>
      <w:marRight w:val="0"/>
      <w:marTop w:val="0"/>
      <w:marBottom w:val="0"/>
      <w:divBdr>
        <w:top w:val="none" w:sz="0" w:space="0" w:color="auto"/>
        <w:left w:val="none" w:sz="0" w:space="0" w:color="auto"/>
        <w:bottom w:val="none" w:sz="0" w:space="0" w:color="auto"/>
        <w:right w:val="none" w:sz="0" w:space="0" w:color="auto"/>
      </w:divBdr>
    </w:div>
    <w:div w:id="517623111">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24902094">
      <w:bodyDiv w:val="1"/>
      <w:marLeft w:val="0"/>
      <w:marRight w:val="0"/>
      <w:marTop w:val="0"/>
      <w:marBottom w:val="0"/>
      <w:divBdr>
        <w:top w:val="none" w:sz="0" w:space="0" w:color="auto"/>
        <w:left w:val="none" w:sz="0" w:space="0" w:color="auto"/>
        <w:bottom w:val="none" w:sz="0" w:space="0" w:color="auto"/>
        <w:right w:val="none" w:sz="0" w:space="0" w:color="auto"/>
      </w:divBdr>
    </w:div>
    <w:div w:id="525560504">
      <w:bodyDiv w:val="1"/>
      <w:marLeft w:val="0"/>
      <w:marRight w:val="0"/>
      <w:marTop w:val="0"/>
      <w:marBottom w:val="0"/>
      <w:divBdr>
        <w:top w:val="none" w:sz="0" w:space="0" w:color="auto"/>
        <w:left w:val="none" w:sz="0" w:space="0" w:color="auto"/>
        <w:bottom w:val="none" w:sz="0" w:space="0" w:color="auto"/>
        <w:right w:val="none" w:sz="0" w:space="0" w:color="auto"/>
      </w:divBdr>
    </w:div>
    <w:div w:id="534584102">
      <w:bodyDiv w:val="1"/>
      <w:marLeft w:val="0"/>
      <w:marRight w:val="0"/>
      <w:marTop w:val="0"/>
      <w:marBottom w:val="0"/>
      <w:divBdr>
        <w:top w:val="none" w:sz="0" w:space="0" w:color="auto"/>
        <w:left w:val="none" w:sz="0" w:space="0" w:color="auto"/>
        <w:bottom w:val="none" w:sz="0" w:space="0" w:color="auto"/>
        <w:right w:val="none" w:sz="0" w:space="0" w:color="auto"/>
      </w:divBdr>
    </w:div>
    <w:div w:id="536164090">
      <w:bodyDiv w:val="1"/>
      <w:marLeft w:val="0"/>
      <w:marRight w:val="0"/>
      <w:marTop w:val="0"/>
      <w:marBottom w:val="0"/>
      <w:divBdr>
        <w:top w:val="none" w:sz="0" w:space="0" w:color="auto"/>
        <w:left w:val="none" w:sz="0" w:space="0" w:color="auto"/>
        <w:bottom w:val="none" w:sz="0" w:space="0" w:color="auto"/>
        <w:right w:val="none" w:sz="0" w:space="0" w:color="auto"/>
      </w:divBdr>
    </w:div>
    <w:div w:id="542595033">
      <w:bodyDiv w:val="1"/>
      <w:marLeft w:val="0"/>
      <w:marRight w:val="0"/>
      <w:marTop w:val="0"/>
      <w:marBottom w:val="0"/>
      <w:divBdr>
        <w:top w:val="none" w:sz="0" w:space="0" w:color="auto"/>
        <w:left w:val="none" w:sz="0" w:space="0" w:color="auto"/>
        <w:bottom w:val="none" w:sz="0" w:space="0" w:color="auto"/>
        <w:right w:val="none" w:sz="0" w:space="0" w:color="auto"/>
      </w:divBdr>
    </w:div>
    <w:div w:id="546726576">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59558672">
      <w:bodyDiv w:val="1"/>
      <w:marLeft w:val="0"/>
      <w:marRight w:val="0"/>
      <w:marTop w:val="0"/>
      <w:marBottom w:val="0"/>
      <w:divBdr>
        <w:top w:val="none" w:sz="0" w:space="0" w:color="auto"/>
        <w:left w:val="none" w:sz="0" w:space="0" w:color="auto"/>
        <w:bottom w:val="none" w:sz="0" w:space="0" w:color="auto"/>
        <w:right w:val="none" w:sz="0" w:space="0" w:color="auto"/>
      </w:divBdr>
    </w:div>
    <w:div w:id="559945932">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588388953">
      <w:bodyDiv w:val="1"/>
      <w:marLeft w:val="0"/>
      <w:marRight w:val="0"/>
      <w:marTop w:val="0"/>
      <w:marBottom w:val="0"/>
      <w:divBdr>
        <w:top w:val="none" w:sz="0" w:space="0" w:color="auto"/>
        <w:left w:val="none" w:sz="0" w:space="0" w:color="auto"/>
        <w:bottom w:val="none" w:sz="0" w:space="0" w:color="auto"/>
        <w:right w:val="none" w:sz="0" w:space="0" w:color="auto"/>
      </w:divBdr>
    </w:div>
    <w:div w:id="604651164">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51712424">
      <w:bodyDiv w:val="1"/>
      <w:marLeft w:val="0"/>
      <w:marRight w:val="0"/>
      <w:marTop w:val="0"/>
      <w:marBottom w:val="0"/>
      <w:divBdr>
        <w:top w:val="none" w:sz="0" w:space="0" w:color="auto"/>
        <w:left w:val="none" w:sz="0" w:space="0" w:color="auto"/>
        <w:bottom w:val="none" w:sz="0" w:space="0" w:color="auto"/>
        <w:right w:val="none" w:sz="0" w:space="0" w:color="auto"/>
      </w:divBdr>
    </w:div>
    <w:div w:id="659700968">
      <w:bodyDiv w:val="1"/>
      <w:marLeft w:val="0"/>
      <w:marRight w:val="0"/>
      <w:marTop w:val="0"/>
      <w:marBottom w:val="0"/>
      <w:divBdr>
        <w:top w:val="none" w:sz="0" w:space="0" w:color="auto"/>
        <w:left w:val="none" w:sz="0" w:space="0" w:color="auto"/>
        <w:bottom w:val="none" w:sz="0" w:space="0" w:color="auto"/>
        <w:right w:val="none" w:sz="0" w:space="0" w:color="auto"/>
      </w:divBdr>
    </w:div>
    <w:div w:id="681278213">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07223567">
      <w:bodyDiv w:val="1"/>
      <w:marLeft w:val="0"/>
      <w:marRight w:val="0"/>
      <w:marTop w:val="0"/>
      <w:marBottom w:val="0"/>
      <w:divBdr>
        <w:top w:val="none" w:sz="0" w:space="0" w:color="auto"/>
        <w:left w:val="none" w:sz="0" w:space="0" w:color="auto"/>
        <w:bottom w:val="none" w:sz="0" w:space="0" w:color="auto"/>
        <w:right w:val="none" w:sz="0" w:space="0" w:color="auto"/>
      </w:divBdr>
    </w:div>
    <w:div w:id="720252584">
      <w:bodyDiv w:val="1"/>
      <w:marLeft w:val="0"/>
      <w:marRight w:val="0"/>
      <w:marTop w:val="0"/>
      <w:marBottom w:val="0"/>
      <w:divBdr>
        <w:top w:val="none" w:sz="0" w:space="0" w:color="auto"/>
        <w:left w:val="none" w:sz="0" w:space="0" w:color="auto"/>
        <w:bottom w:val="none" w:sz="0" w:space="0" w:color="auto"/>
        <w:right w:val="none" w:sz="0" w:space="0" w:color="auto"/>
      </w:divBdr>
    </w:div>
    <w:div w:id="721516999">
      <w:bodyDiv w:val="1"/>
      <w:marLeft w:val="0"/>
      <w:marRight w:val="0"/>
      <w:marTop w:val="0"/>
      <w:marBottom w:val="0"/>
      <w:divBdr>
        <w:top w:val="none" w:sz="0" w:space="0" w:color="auto"/>
        <w:left w:val="none" w:sz="0" w:space="0" w:color="auto"/>
        <w:bottom w:val="none" w:sz="0" w:space="0" w:color="auto"/>
        <w:right w:val="none" w:sz="0" w:space="0" w:color="auto"/>
      </w:divBdr>
    </w:div>
    <w:div w:id="725031908">
      <w:bodyDiv w:val="1"/>
      <w:marLeft w:val="0"/>
      <w:marRight w:val="0"/>
      <w:marTop w:val="0"/>
      <w:marBottom w:val="0"/>
      <w:divBdr>
        <w:top w:val="none" w:sz="0" w:space="0" w:color="auto"/>
        <w:left w:val="none" w:sz="0" w:space="0" w:color="auto"/>
        <w:bottom w:val="none" w:sz="0" w:space="0" w:color="auto"/>
        <w:right w:val="none" w:sz="0" w:space="0" w:color="auto"/>
      </w:divBdr>
    </w:div>
    <w:div w:id="750741569">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805007658">
      <w:bodyDiv w:val="1"/>
      <w:marLeft w:val="0"/>
      <w:marRight w:val="0"/>
      <w:marTop w:val="0"/>
      <w:marBottom w:val="0"/>
      <w:divBdr>
        <w:top w:val="none" w:sz="0" w:space="0" w:color="auto"/>
        <w:left w:val="none" w:sz="0" w:space="0" w:color="auto"/>
        <w:bottom w:val="none" w:sz="0" w:space="0" w:color="auto"/>
        <w:right w:val="none" w:sz="0" w:space="0" w:color="auto"/>
      </w:divBdr>
    </w:div>
    <w:div w:id="814105610">
      <w:bodyDiv w:val="1"/>
      <w:marLeft w:val="0"/>
      <w:marRight w:val="0"/>
      <w:marTop w:val="0"/>
      <w:marBottom w:val="0"/>
      <w:divBdr>
        <w:top w:val="none" w:sz="0" w:space="0" w:color="auto"/>
        <w:left w:val="none" w:sz="0" w:space="0" w:color="auto"/>
        <w:bottom w:val="none" w:sz="0" w:space="0" w:color="auto"/>
        <w:right w:val="none" w:sz="0" w:space="0" w:color="auto"/>
      </w:divBdr>
    </w:div>
    <w:div w:id="818502435">
      <w:bodyDiv w:val="1"/>
      <w:marLeft w:val="0"/>
      <w:marRight w:val="0"/>
      <w:marTop w:val="0"/>
      <w:marBottom w:val="0"/>
      <w:divBdr>
        <w:top w:val="none" w:sz="0" w:space="0" w:color="auto"/>
        <w:left w:val="none" w:sz="0" w:space="0" w:color="auto"/>
        <w:bottom w:val="none" w:sz="0" w:space="0" w:color="auto"/>
        <w:right w:val="none" w:sz="0" w:space="0" w:color="auto"/>
      </w:divBdr>
    </w:div>
    <w:div w:id="829711055">
      <w:bodyDiv w:val="1"/>
      <w:marLeft w:val="0"/>
      <w:marRight w:val="0"/>
      <w:marTop w:val="0"/>
      <w:marBottom w:val="0"/>
      <w:divBdr>
        <w:top w:val="none" w:sz="0" w:space="0" w:color="auto"/>
        <w:left w:val="none" w:sz="0" w:space="0" w:color="auto"/>
        <w:bottom w:val="none" w:sz="0" w:space="0" w:color="auto"/>
        <w:right w:val="none" w:sz="0" w:space="0" w:color="auto"/>
      </w:divBdr>
    </w:div>
    <w:div w:id="836765873">
      <w:bodyDiv w:val="1"/>
      <w:marLeft w:val="0"/>
      <w:marRight w:val="0"/>
      <w:marTop w:val="0"/>
      <w:marBottom w:val="0"/>
      <w:divBdr>
        <w:top w:val="none" w:sz="0" w:space="0" w:color="auto"/>
        <w:left w:val="none" w:sz="0" w:space="0" w:color="auto"/>
        <w:bottom w:val="none" w:sz="0" w:space="0" w:color="auto"/>
        <w:right w:val="none" w:sz="0" w:space="0" w:color="auto"/>
      </w:divBdr>
    </w:div>
    <w:div w:id="843907098">
      <w:bodyDiv w:val="1"/>
      <w:marLeft w:val="0"/>
      <w:marRight w:val="0"/>
      <w:marTop w:val="0"/>
      <w:marBottom w:val="0"/>
      <w:divBdr>
        <w:top w:val="none" w:sz="0" w:space="0" w:color="auto"/>
        <w:left w:val="none" w:sz="0" w:space="0" w:color="auto"/>
        <w:bottom w:val="none" w:sz="0" w:space="0" w:color="auto"/>
        <w:right w:val="none" w:sz="0" w:space="0" w:color="auto"/>
      </w:divBdr>
    </w:div>
    <w:div w:id="858392152">
      <w:bodyDiv w:val="1"/>
      <w:marLeft w:val="0"/>
      <w:marRight w:val="0"/>
      <w:marTop w:val="0"/>
      <w:marBottom w:val="0"/>
      <w:divBdr>
        <w:top w:val="none" w:sz="0" w:space="0" w:color="auto"/>
        <w:left w:val="none" w:sz="0" w:space="0" w:color="auto"/>
        <w:bottom w:val="none" w:sz="0" w:space="0" w:color="auto"/>
        <w:right w:val="none" w:sz="0" w:space="0" w:color="auto"/>
      </w:divBdr>
    </w:div>
    <w:div w:id="859009581">
      <w:bodyDiv w:val="1"/>
      <w:marLeft w:val="0"/>
      <w:marRight w:val="0"/>
      <w:marTop w:val="0"/>
      <w:marBottom w:val="0"/>
      <w:divBdr>
        <w:top w:val="none" w:sz="0" w:space="0" w:color="auto"/>
        <w:left w:val="none" w:sz="0" w:space="0" w:color="auto"/>
        <w:bottom w:val="none" w:sz="0" w:space="0" w:color="auto"/>
        <w:right w:val="none" w:sz="0" w:space="0" w:color="auto"/>
      </w:divBdr>
    </w:div>
    <w:div w:id="866255996">
      <w:bodyDiv w:val="1"/>
      <w:marLeft w:val="0"/>
      <w:marRight w:val="0"/>
      <w:marTop w:val="0"/>
      <w:marBottom w:val="0"/>
      <w:divBdr>
        <w:top w:val="none" w:sz="0" w:space="0" w:color="auto"/>
        <w:left w:val="none" w:sz="0" w:space="0" w:color="auto"/>
        <w:bottom w:val="none" w:sz="0" w:space="0" w:color="auto"/>
        <w:right w:val="none" w:sz="0" w:space="0" w:color="auto"/>
      </w:divBdr>
    </w:div>
    <w:div w:id="868841001">
      <w:bodyDiv w:val="1"/>
      <w:marLeft w:val="0"/>
      <w:marRight w:val="0"/>
      <w:marTop w:val="0"/>
      <w:marBottom w:val="0"/>
      <w:divBdr>
        <w:top w:val="none" w:sz="0" w:space="0" w:color="auto"/>
        <w:left w:val="none" w:sz="0" w:space="0" w:color="auto"/>
        <w:bottom w:val="none" w:sz="0" w:space="0" w:color="auto"/>
        <w:right w:val="none" w:sz="0" w:space="0" w:color="auto"/>
      </w:divBdr>
    </w:div>
    <w:div w:id="869957238">
      <w:bodyDiv w:val="1"/>
      <w:marLeft w:val="0"/>
      <w:marRight w:val="0"/>
      <w:marTop w:val="0"/>
      <w:marBottom w:val="0"/>
      <w:divBdr>
        <w:top w:val="none" w:sz="0" w:space="0" w:color="auto"/>
        <w:left w:val="none" w:sz="0" w:space="0" w:color="auto"/>
        <w:bottom w:val="none" w:sz="0" w:space="0" w:color="auto"/>
        <w:right w:val="none" w:sz="0" w:space="0" w:color="auto"/>
      </w:divBdr>
    </w:div>
    <w:div w:id="873426464">
      <w:bodyDiv w:val="1"/>
      <w:marLeft w:val="0"/>
      <w:marRight w:val="0"/>
      <w:marTop w:val="0"/>
      <w:marBottom w:val="0"/>
      <w:divBdr>
        <w:top w:val="none" w:sz="0" w:space="0" w:color="auto"/>
        <w:left w:val="none" w:sz="0" w:space="0" w:color="auto"/>
        <w:bottom w:val="none" w:sz="0" w:space="0" w:color="auto"/>
        <w:right w:val="none" w:sz="0" w:space="0" w:color="auto"/>
      </w:divBdr>
    </w:div>
    <w:div w:id="879244715">
      <w:bodyDiv w:val="1"/>
      <w:marLeft w:val="0"/>
      <w:marRight w:val="0"/>
      <w:marTop w:val="0"/>
      <w:marBottom w:val="0"/>
      <w:divBdr>
        <w:top w:val="none" w:sz="0" w:space="0" w:color="auto"/>
        <w:left w:val="none" w:sz="0" w:space="0" w:color="auto"/>
        <w:bottom w:val="none" w:sz="0" w:space="0" w:color="auto"/>
        <w:right w:val="none" w:sz="0" w:space="0" w:color="auto"/>
      </w:divBdr>
    </w:div>
    <w:div w:id="881214497">
      <w:bodyDiv w:val="1"/>
      <w:marLeft w:val="0"/>
      <w:marRight w:val="0"/>
      <w:marTop w:val="0"/>
      <w:marBottom w:val="0"/>
      <w:divBdr>
        <w:top w:val="none" w:sz="0" w:space="0" w:color="auto"/>
        <w:left w:val="none" w:sz="0" w:space="0" w:color="auto"/>
        <w:bottom w:val="none" w:sz="0" w:space="0" w:color="auto"/>
        <w:right w:val="none" w:sz="0" w:space="0" w:color="auto"/>
      </w:divBdr>
    </w:div>
    <w:div w:id="888496179">
      <w:bodyDiv w:val="1"/>
      <w:marLeft w:val="0"/>
      <w:marRight w:val="0"/>
      <w:marTop w:val="0"/>
      <w:marBottom w:val="0"/>
      <w:divBdr>
        <w:top w:val="none" w:sz="0" w:space="0" w:color="auto"/>
        <w:left w:val="none" w:sz="0" w:space="0" w:color="auto"/>
        <w:bottom w:val="none" w:sz="0" w:space="0" w:color="auto"/>
        <w:right w:val="none" w:sz="0" w:space="0" w:color="auto"/>
      </w:divBdr>
    </w:div>
    <w:div w:id="896473559">
      <w:bodyDiv w:val="1"/>
      <w:marLeft w:val="0"/>
      <w:marRight w:val="0"/>
      <w:marTop w:val="0"/>
      <w:marBottom w:val="0"/>
      <w:divBdr>
        <w:top w:val="none" w:sz="0" w:space="0" w:color="auto"/>
        <w:left w:val="none" w:sz="0" w:space="0" w:color="auto"/>
        <w:bottom w:val="none" w:sz="0" w:space="0" w:color="auto"/>
        <w:right w:val="none" w:sz="0" w:space="0" w:color="auto"/>
      </w:divBdr>
    </w:div>
    <w:div w:id="901529260">
      <w:bodyDiv w:val="1"/>
      <w:marLeft w:val="0"/>
      <w:marRight w:val="0"/>
      <w:marTop w:val="0"/>
      <w:marBottom w:val="0"/>
      <w:divBdr>
        <w:top w:val="none" w:sz="0" w:space="0" w:color="auto"/>
        <w:left w:val="none" w:sz="0" w:space="0" w:color="auto"/>
        <w:bottom w:val="none" w:sz="0" w:space="0" w:color="auto"/>
        <w:right w:val="none" w:sz="0" w:space="0" w:color="auto"/>
      </w:divBdr>
    </w:div>
    <w:div w:id="902838027">
      <w:bodyDiv w:val="1"/>
      <w:marLeft w:val="0"/>
      <w:marRight w:val="0"/>
      <w:marTop w:val="0"/>
      <w:marBottom w:val="0"/>
      <w:divBdr>
        <w:top w:val="none" w:sz="0" w:space="0" w:color="auto"/>
        <w:left w:val="none" w:sz="0" w:space="0" w:color="auto"/>
        <w:bottom w:val="none" w:sz="0" w:space="0" w:color="auto"/>
        <w:right w:val="none" w:sz="0" w:space="0" w:color="auto"/>
      </w:divBdr>
    </w:div>
    <w:div w:id="908612750">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18909136">
      <w:bodyDiv w:val="1"/>
      <w:marLeft w:val="0"/>
      <w:marRight w:val="0"/>
      <w:marTop w:val="0"/>
      <w:marBottom w:val="0"/>
      <w:divBdr>
        <w:top w:val="none" w:sz="0" w:space="0" w:color="auto"/>
        <w:left w:val="none" w:sz="0" w:space="0" w:color="auto"/>
        <w:bottom w:val="none" w:sz="0" w:space="0" w:color="auto"/>
        <w:right w:val="none" w:sz="0" w:space="0" w:color="auto"/>
      </w:divBdr>
    </w:div>
    <w:div w:id="945431949">
      <w:bodyDiv w:val="1"/>
      <w:marLeft w:val="0"/>
      <w:marRight w:val="0"/>
      <w:marTop w:val="0"/>
      <w:marBottom w:val="0"/>
      <w:divBdr>
        <w:top w:val="none" w:sz="0" w:space="0" w:color="auto"/>
        <w:left w:val="none" w:sz="0" w:space="0" w:color="auto"/>
        <w:bottom w:val="none" w:sz="0" w:space="0" w:color="auto"/>
        <w:right w:val="none" w:sz="0" w:space="0" w:color="auto"/>
      </w:divBdr>
    </w:div>
    <w:div w:id="964972179">
      <w:bodyDiv w:val="1"/>
      <w:marLeft w:val="0"/>
      <w:marRight w:val="0"/>
      <w:marTop w:val="0"/>
      <w:marBottom w:val="0"/>
      <w:divBdr>
        <w:top w:val="none" w:sz="0" w:space="0" w:color="auto"/>
        <w:left w:val="none" w:sz="0" w:space="0" w:color="auto"/>
        <w:bottom w:val="none" w:sz="0" w:space="0" w:color="auto"/>
        <w:right w:val="none" w:sz="0" w:space="0" w:color="auto"/>
      </w:divBdr>
    </w:div>
    <w:div w:id="967933664">
      <w:bodyDiv w:val="1"/>
      <w:marLeft w:val="0"/>
      <w:marRight w:val="0"/>
      <w:marTop w:val="0"/>
      <w:marBottom w:val="0"/>
      <w:divBdr>
        <w:top w:val="none" w:sz="0" w:space="0" w:color="auto"/>
        <w:left w:val="none" w:sz="0" w:space="0" w:color="auto"/>
        <w:bottom w:val="none" w:sz="0" w:space="0" w:color="auto"/>
        <w:right w:val="none" w:sz="0" w:space="0" w:color="auto"/>
      </w:divBdr>
    </w:div>
    <w:div w:id="974288175">
      <w:bodyDiv w:val="1"/>
      <w:marLeft w:val="0"/>
      <w:marRight w:val="0"/>
      <w:marTop w:val="0"/>
      <w:marBottom w:val="0"/>
      <w:divBdr>
        <w:top w:val="none" w:sz="0" w:space="0" w:color="auto"/>
        <w:left w:val="none" w:sz="0" w:space="0" w:color="auto"/>
        <w:bottom w:val="none" w:sz="0" w:space="0" w:color="auto"/>
        <w:right w:val="none" w:sz="0" w:space="0" w:color="auto"/>
      </w:divBdr>
    </w:div>
    <w:div w:id="979924240">
      <w:bodyDiv w:val="1"/>
      <w:marLeft w:val="0"/>
      <w:marRight w:val="0"/>
      <w:marTop w:val="0"/>
      <w:marBottom w:val="0"/>
      <w:divBdr>
        <w:top w:val="none" w:sz="0" w:space="0" w:color="auto"/>
        <w:left w:val="none" w:sz="0" w:space="0" w:color="auto"/>
        <w:bottom w:val="none" w:sz="0" w:space="0" w:color="auto"/>
        <w:right w:val="none" w:sz="0" w:space="0" w:color="auto"/>
      </w:divBdr>
    </w:div>
    <w:div w:id="982275726">
      <w:bodyDiv w:val="1"/>
      <w:marLeft w:val="0"/>
      <w:marRight w:val="0"/>
      <w:marTop w:val="0"/>
      <w:marBottom w:val="0"/>
      <w:divBdr>
        <w:top w:val="none" w:sz="0" w:space="0" w:color="auto"/>
        <w:left w:val="none" w:sz="0" w:space="0" w:color="auto"/>
        <w:bottom w:val="none" w:sz="0" w:space="0" w:color="auto"/>
        <w:right w:val="none" w:sz="0" w:space="0" w:color="auto"/>
      </w:divBdr>
    </w:div>
    <w:div w:id="986863903">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994724455">
      <w:bodyDiv w:val="1"/>
      <w:marLeft w:val="0"/>
      <w:marRight w:val="0"/>
      <w:marTop w:val="0"/>
      <w:marBottom w:val="0"/>
      <w:divBdr>
        <w:top w:val="none" w:sz="0" w:space="0" w:color="auto"/>
        <w:left w:val="none" w:sz="0" w:space="0" w:color="auto"/>
        <w:bottom w:val="none" w:sz="0" w:space="0" w:color="auto"/>
        <w:right w:val="none" w:sz="0" w:space="0" w:color="auto"/>
      </w:divBdr>
    </w:div>
    <w:div w:id="1023942938">
      <w:bodyDiv w:val="1"/>
      <w:marLeft w:val="0"/>
      <w:marRight w:val="0"/>
      <w:marTop w:val="0"/>
      <w:marBottom w:val="0"/>
      <w:divBdr>
        <w:top w:val="none" w:sz="0" w:space="0" w:color="auto"/>
        <w:left w:val="none" w:sz="0" w:space="0" w:color="auto"/>
        <w:bottom w:val="none" w:sz="0" w:space="0" w:color="auto"/>
        <w:right w:val="none" w:sz="0" w:space="0" w:color="auto"/>
      </w:divBdr>
    </w:div>
    <w:div w:id="1024941064">
      <w:bodyDiv w:val="1"/>
      <w:marLeft w:val="0"/>
      <w:marRight w:val="0"/>
      <w:marTop w:val="0"/>
      <w:marBottom w:val="0"/>
      <w:divBdr>
        <w:top w:val="none" w:sz="0" w:space="0" w:color="auto"/>
        <w:left w:val="none" w:sz="0" w:space="0" w:color="auto"/>
        <w:bottom w:val="none" w:sz="0" w:space="0" w:color="auto"/>
        <w:right w:val="none" w:sz="0" w:space="0" w:color="auto"/>
      </w:divBdr>
    </w:div>
    <w:div w:id="1050420531">
      <w:bodyDiv w:val="1"/>
      <w:marLeft w:val="0"/>
      <w:marRight w:val="0"/>
      <w:marTop w:val="0"/>
      <w:marBottom w:val="0"/>
      <w:divBdr>
        <w:top w:val="none" w:sz="0" w:space="0" w:color="auto"/>
        <w:left w:val="none" w:sz="0" w:space="0" w:color="auto"/>
        <w:bottom w:val="none" w:sz="0" w:space="0" w:color="auto"/>
        <w:right w:val="none" w:sz="0" w:space="0" w:color="auto"/>
      </w:divBdr>
    </w:div>
    <w:div w:id="1063061239">
      <w:bodyDiv w:val="1"/>
      <w:marLeft w:val="0"/>
      <w:marRight w:val="0"/>
      <w:marTop w:val="0"/>
      <w:marBottom w:val="0"/>
      <w:divBdr>
        <w:top w:val="none" w:sz="0" w:space="0" w:color="auto"/>
        <w:left w:val="none" w:sz="0" w:space="0" w:color="auto"/>
        <w:bottom w:val="none" w:sz="0" w:space="0" w:color="auto"/>
        <w:right w:val="none" w:sz="0" w:space="0" w:color="auto"/>
      </w:divBdr>
    </w:div>
    <w:div w:id="1064794047">
      <w:bodyDiv w:val="1"/>
      <w:marLeft w:val="0"/>
      <w:marRight w:val="0"/>
      <w:marTop w:val="0"/>
      <w:marBottom w:val="0"/>
      <w:divBdr>
        <w:top w:val="none" w:sz="0" w:space="0" w:color="auto"/>
        <w:left w:val="none" w:sz="0" w:space="0" w:color="auto"/>
        <w:bottom w:val="none" w:sz="0" w:space="0" w:color="auto"/>
        <w:right w:val="none" w:sz="0" w:space="0" w:color="auto"/>
      </w:divBdr>
    </w:div>
    <w:div w:id="1066148398">
      <w:bodyDiv w:val="1"/>
      <w:marLeft w:val="0"/>
      <w:marRight w:val="0"/>
      <w:marTop w:val="0"/>
      <w:marBottom w:val="0"/>
      <w:divBdr>
        <w:top w:val="none" w:sz="0" w:space="0" w:color="auto"/>
        <w:left w:val="none" w:sz="0" w:space="0" w:color="auto"/>
        <w:bottom w:val="none" w:sz="0" w:space="0" w:color="auto"/>
        <w:right w:val="none" w:sz="0" w:space="0" w:color="auto"/>
      </w:divBdr>
    </w:div>
    <w:div w:id="1067147956">
      <w:bodyDiv w:val="1"/>
      <w:marLeft w:val="0"/>
      <w:marRight w:val="0"/>
      <w:marTop w:val="0"/>
      <w:marBottom w:val="0"/>
      <w:divBdr>
        <w:top w:val="none" w:sz="0" w:space="0" w:color="auto"/>
        <w:left w:val="none" w:sz="0" w:space="0" w:color="auto"/>
        <w:bottom w:val="none" w:sz="0" w:space="0" w:color="auto"/>
        <w:right w:val="none" w:sz="0" w:space="0" w:color="auto"/>
      </w:divBdr>
    </w:div>
    <w:div w:id="1068455218">
      <w:bodyDiv w:val="1"/>
      <w:marLeft w:val="0"/>
      <w:marRight w:val="0"/>
      <w:marTop w:val="0"/>
      <w:marBottom w:val="0"/>
      <w:divBdr>
        <w:top w:val="none" w:sz="0" w:space="0" w:color="auto"/>
        <w:left w:val="none" w:sz="0" w:space="0" w:color="auto"/>
        <w:bottom w:val="none" w:sz="0" w:space="0" w:color="auto"/>
        <w:right w:val="none" w:sz="0" w:space="0" w:color="auto"/>
      </w:divBdr>
    </w:div>
    <w:div w:id="1068529504">
      <w:bodyDiv w:val="1"/>
      <w:marLeft w:val="0"/>
      <w:marRight w:val="0"/>
      <w:marTop w:val="0"/>
      <w:marBottom w:val="0"/>
      <w:divBdr>
        <w:top w:val="none" w:sz="0" w:space="0" w:color="auto"/>
        <w:left w:val="none" w:sz="0" w:space="0" w:color="auto"/>
        <w:bottom w:val="none" w:sz="0" w:space="0" w:color="auto"/>
        <w:right w:val="none" w:sz="0" w:space="0" w:color="auto"/>
      </w:divBdr>
    </w:div>
    <w:div w:id="1079451133">
      <w:bodyDiv w:val="1"/>
      <w:marLeft w:val="0"/>
      <w:marRight w:val="0"/>
      <w:marTop w:val="0"/>
      <w:marBottom w:val="0"/>
      <w:divBdr>
        <w:top w:val="none" w:sz="0" w:space="0" w:color="auto"/>
        <w:left w:val="none" w:sz="0" w:space="0" w:color="auto"/>
        <w:bottom w:val="none" w:sz="0" w:space="0" w:color="auto"/>
        <w:right w:val="none" w:sz="0" w:space="0" w:color="auto"/>
      </w:divBdr>
    </w:div>
    <w:div w:id="1080295847">
      <w:bodyDiv w:val="1"/>
      <w:marLeft w:val="0"/>
      <w:marRight w:val="0"/>
      <w:marTop w:val="0"/>
      <w:marBottom w:val="0"/>
      <w:divBdr>
        <w:top w:val="none" w:sz="0" w:space="0" w:color="auto"/>
        <w:left w:val="none" w:sz="0" w:space="0" w:color="auto"/>
        <w:bottom w:val="none" w:sz="0" w:space="0" w:color="auto"/>
        <w:right w:val="none" w:sz="0" w:space="0" w:color="auto"/>
      </w:divBdr>
    </w:div>
    <w:div w:id="1086658957">
      <w:bodyDiv w:val="1"/>
      <w:marLeft w:val="0"/>
      <w:marRight w:val="0"/>
      <w:marTop w:val="0"/>
      <w:marBottom w:val="0"/>
      <w:divBdr>
        <w:top w:val="none" w:sz="0" w:space="0" w:color="auto"/>
        <w:left w:val="none" w:sz="0" w:space="0" w:color="auto"/>
        <w:bottom w:val="none" w:sz="0" w:space="0" w:color="auto"/>
        <w:right w:val="none" w:sz="0" w:space="0" w:color="auto"/>
      </w:divBdr>
    </w:div>
    <w:div w:id="1088623772">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33715256">
      <w:bodyDiv w:val="1"/>
      <w:marLeft w:val="0"/>
      <w:marRight w:val="0"/>
      <w:marTop w:val="0"/>
      <w:marBottom w:val="0"/>
      <w:divBdr>
        <w:top w:val="none" w:sz="0" w:space="0" w:color="auto"/>
        <w:left w:val="none" w:sz="0" w:space="0" w:color="auto"/>
        <w:bottom w:val="none" w:sz="0" w:space="0" w:color="auto"/>
        <w:right w:val="none" w:sz="0" w:space="0" w:color="auto"/>
      </w:divBdr>
    </w:div>
    <w:div w:id="1151020985">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04948007">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4121563">
      <w:bodyDiv w:val="1"/>
      <w:marLeft w:val="0"/>
      <w:marRight w:val="0"/>
      <w:marTop w:val="0"/>
      <w:marBottom w:val="0"/>
      <w:divBdr>
        <w:top w:val="none" w:sz="0" w:space="0" w:color="auto"/>
        <w:left w:val="none" w:sz="0" w:space="0" w:color="auto"/>
        <w:bottom w:val="none" w:sz="0" w:space="0" w:color="auto"/>
        <w:right w:val="none" w:sz="0" w:space="0" w:color="auto"/>
      </w:divBdr>
    </w:div>
    <w:div w:id="1218123818">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37982846">
      <w:bodyDiv w:val="1"/>
      <w:marLeft w:val="0"/>
      <w:marRight w:val="0"/>
      <w:marTop w:val="0"/>
      <w:marBottom w:val="0"/>
      <w:divBdr>
        <w:top w:val="none" w:sz="0" w:space="0" w:color="auto"/>
        <w:left w:val="none" w:sz="0" w:space="0" w:color="auto"/>
        <w:bottom w:val="none" w:sz="0" w:space="0" w:color="auto"/>
        <w:right w:val="none" w:sz="0" w:space="0" w:color="auto"/>
      </w:divBdr>
      <w:divsChild>
        <w:div w:id="877663088">
          <w:marLeft w:val="0"/>
          <w:marRight w:val="0"/>
          <w:marTop w:val="0"/>
          <w:marBottom w:val="0"/>
          <w:divBdr>
            <w:top w:val="none" w:sz="0" w:space="0" w:color="auto"/>
            <w:left w:val="none" w:sz="0" w:space="0" w:color="auto"/>
            <w:bottom w:val="none" w:sz="0" w:space="0" w:color="auto"/>
            <w:right w:val="none" w:sz="0" w:space="0" w:color="auto"/>
          </w:divBdr>
        </w:div>
      </w:divsChild>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244561226">
      <w:bodyDiv w:val="1"/>
      <w:marLeft w:val="0"/>
      <w:marRight w:val="0"/>
      <w:marTop w:val="0"/>
      <w:marBottom w:val="0"/>
      <w:divBdr>
        <w:top w:val="none" w:sz="0" w:space="0" w:color="auto"/>
        <w:left w:val="none" w:sz="0" w:space="0" w:color="auto"/>
        <w:bottom w:val="none" w:sz="0" w:space="0" w:color="auto"/>
        <w:right w:val="none" w:sz="0" w:space="0" w:color="auto"/>
      </w:divBdr>
    </w:div>
    <w:div w:id="1250583729">
      <w:bodyDiv w:val="1"/>
      <w:marLeft w:val="0"/>
      <w:marRight w:val="0"/>
      <w:marTop w:val="0"/>
      <w:marBottom w:val="0"/>
      <w:divBdr>
        <w:top w:val="none" w:sz="0" w:space="0" w:color="auto"/>
        <w:left w:val="none" w:sz="0" w:space="0" w:color="auto"/>
        <w:bottom w:val="none" w:sz="0" w:space="0" w:color="auto"/>
        <w:right w:val="none" w:sz="0" w:space="0" w:color="auto"/>
      </w:divBdr>
    </w:div>
    <w:div w:id="1310524830">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23123099">
      <w:bodyDiv w:val="1"/>
      <w:marLeft w:val="0"/>
      <w:marRight w:val="0"/>
      <w:marTop w:val="0"/>
      <w:marBottom w:val="0"/>
      <w:divBdr>
        <w:top w:val="none" w:sz="0" w:space="0" w:color="auto"/>
        <w:left w:val="none" w:sz="0" w:space="0" w:color="auto"/>
        <w:bottom w:val="none" w:sz="0" w:space="0" w:color="auto"/>
        <w:right w:val="none" w:sz="0" w:space="0" w:color="auto"/>
      </w:divBdr>
    </w:div>
    <w:div w:id="1347899729">
      <w:bodyDiv w:val="1"/>
      <w:marLeft w:val="0"/>
      <w:marRight w:val="0"/>
      <w:marTop w:val="0"/>
      <w:marBottom w:val="0"/>
      <w:divBdr>
        <w:top w:val="none" w:sz="0" w:space="0" w:color="auto"/>
        <w:left w:val="none" w:sz="0" w:space="0" w:color="auto"/>
        <w:bottom w:val="none" w:sz="0" w:space="0" w:color="auto"/>
        <w:right w:val="none" w:sz="0" w:space="0" w:color="auto"/>
      </w:divBdr>
    </w:div>
    <w:div w:id="1350334755">
      <w:bodyDiv w:val="1"/>
      <w:marLeft w:val="0"/>
      <w:marRight w:val="0"/>
      <w:marTop w:val="0"/>
      <w:marBottom w:val="0"/>
      <w:divBdr>
        <w:top w:val="none" w:sz="0" w:space="0" w:color="auto"/>
        <w:left w:val="none" w:sz="0" w:space="0" w:color="auto"/>
        <w:bottom w:val="none" w:sz="0" w:space="0" w:color="auto"/>
        <w:right w:val="none" w:sz="0" w:space="0" w:color="auto"/>
      </w:divBdr>
    </w:div>
    <w:div w:id="1364136142">
      <w:bodyDiv w:val="1"/>
      <w:marLeft w:val="0"/>
      <w:marRight w:val="0"/>
      <w:marTop w:val="0"/>
      <w:marBottom w:val="0"/>
      <w:divBdr>
        <w:top w:val="none" w:sz="0" w:space="0" w:color="auto"/>
        <w:left w:val="none" w:sz="0" w:space="0" w:color="auto"/>
        <w:bottom w:val="none" w:sz="0" w:space="0" w:color="auto"/>
        <w:right w:val="none" w:sz="0" w:space="0" w:color="auto"/>
      </w:divBdr>
    </w:div>
    <w:div w:id="1381248446">
      <w:bodyDiv w:val="1"/>
      <w:marLeft w:val="0"/>
      <w:marRight w:val="0"/>
      <w:marTop w:val="0"/>
      <w:marBottom w:val="0"/>
      <w:divBdr>
        <w:top w:val="none" w:sz="0" w:space="0" w:color="auto"/>
        <w:left w:val="none" w:sz="0" w:space="0" w:color="auto"/>
        <w:bottom w:val="none" w:sz="0" w:space="0" w:color="auto"/>
        <w:right w:val="none" w:sz="0" w:space="0" w:color="auto"/>
      </w:divBdr>
    </w:div>
    <w:div w:id="1381709527">
      <w:bodyDiv w:val="1"/>
      <w:marLeft w:val="0"/>
      <w:marRight w:val="0"/>
      <w:marTop w:val="0"/>
      <w:marBottom w:val="0"/>
      <w:divBdr>
        <w:top w:val="none" w:sz="0" w:space="0" w:color="auto"/>
        <w:left w:val="none" w:sz="0" w:space="0" w:color="auto"/>
        <w:bottom w:val="none" w:sz="0" w:space="0" w:color="auto"/>
        <w:right w:val="none" w:sz="0" w:space="0" w:color="auto"/>
      </w:divBdr>
    </w:div>
    <w:div w:id="1385062588">
      <w:bodyDiv w:val="1"/>
      <w:marLeft w:val="0"/>
      <w:marRight w:val="0"/>
      <w:marTop w:val="0"/>
      <w:marBottom w:val="0"/>
      <w:divBdr>
        <w:top w:val="none" w:sz="0" w:space="0" w:color="auto"/>
        <w:left w:val="none" w:sz="0" w:space="0" w:color="auto"/>
        <w:bottom w:val="none" w:sz="0" w:space="0" w:color="auto"/>
        <w:right w:val="none" w:sz="0" w:space="0" w:color="auto"/>
      </w:divBdr>
    </w:div>
    <w:div w:id="1385593449">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1004026">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404182191">
      <w:bodyDiv w:val="1"/>
      <w:marLeft w:val="0"/>
      <w:marRight w:val="0"/>
      <w:marTop w:val="0"/>
      <w:marBottom w:val="0"/>
      <w:divBdr>
        <w:top w:val="none" w:sz="0" w:space="0" w:color="auto"/>
        <w:left w:val="none" w:sz="0" w:space="0" w:color="auto"/>
        <w:bottom w:val="none" w:sz="0" w:space="0" w:color="auto"/>
        <w:right w:val="none" w:sz="0" w:space="0" w:color="auto"/>
      </w:divBdr>
    </w:div>
    <w:div w:id="1405494508">
      <w:bodyDiv w:val="1"/>
      <w:marLeft w:val="0"/>
      <w:marRight w:val="0"/>
      <w:marTop w:val="0"/>
      <w:marBottom w:val="0"/>
      <w:divBdr>
        <w:top w:val="none" w:sz="0" w:space="0" w:color="auto"/>
        <w:left w:val="none" w:sz="0" w:space="0" w:color="auto"/>
        <w:bottom w:val="none" w:sz="0" w:space="0" w:color="auto"/>
        <w:right w:val="none" w:sz="0" w:space="0" w:color="auto"/>
      </w:divBdr>
    </w:div>
    <w:div w:id="1429082964">
      <w:bodyDiv w:val="1"/>
      <w:marLeft w:val="0"/>
      <w:marRight w:val="0"/>
      <w:marTop w:val="0"/>
      <w:marBottom w:val="0"/>
      <w:divBdr>
        <w:top w:val="none" w:sz="0" w:space="0" w:color="auto"/>
        <w:left w:val="none" w:sz="0" w:space="0" w:color="auto"/>
        <w:bottom w:val="none" w:sz="0" w:space="0" w:color="auto"/>
        <w:right w:val="none" w:sz="0" w:space="0" w:color="auto"/>
      </w:divBdr>
    </w:div>
    <w:div w:id="1465003032">
      <w:bodyDiv w:val="1"/>
      <w:marLeft w:val="0"/>
      <w:marRight w:val="0"/>
      <w:marTop w:val="0"/>
      <w:marBottom w:val="0"/>
      <w:divBdr>
        <w:top w:val="none" w:sz="0" w:space="0" w:color="auto"/>
        <w:left w:val="none" w:sz="0" w:space="0" w:color="auto"/>
        <w:bottom w:val="none" w:sz="0" w:space="0" w:color="auto"/>
        <w:right w:val="none" w:sz="0" w:space="0" w:color="auto"/>
      </w:divBdr>
    </w:div>
    <w:div w:id="1468277504">
      <w:bodyDiv w:val="1"/>
      <w:marLeft w:val="0"/>
      <w:marRight w:val="0"/>
      <w:marTop w:val="0"/>
      <w:marBottom w:val="0"/>
      <w:divBdr>
        <w:top w:val="none" w:sz="0" w:space="0" w:color="auto"/>
        <w:left w:val="none" w:sz="0" w:space="0" w:color="auto"/>
        <w:bottom w:val="none" w:sz="0" w:space="0" w:color="auto"/>
        <w:right w:val="none" w:sz="0" w:space="0" w:color="auto"/>
      </w:divBdr>
    </w:div>
    <w:div w:id="1475028305">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64638828">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585527538">
      <w:bodyDiv w:val="1"/>
      <w:marLeft w:val="0"/>
      <w:marRight w:val="0"/>
      <w:marTop w:val="0"/>
      <w:marBottom w:val="0"/>
      <w:divBdr>
        <w:top w:val="none" w:sz="0" w:space="0" w:color="auto"/>
        <w:left w:val="none" w:sz="0" w:space="0" w:color="auto"/>
        <w:bottom w:val="none" w:sz="0" w:space="0" w:color="auto"/>
        <w:right w:val="none" w:sz="0" w:space="0" w:color="auto"/>
      </w:divBdr>
    </w:div>
    <w:div w:id="1586646130">
      <w:bodyDiv w:val="1"/>
      <w:marLeft w:val="0"/>
      <w:marRight w:val="0"/>
      <w:marTop w:val="0"/>
      <w:marBottom w:val="0"/>
      <w:divBdr>
        <w:top w:val="none" w:sz="0" w:space="0" w:color="auto"/>
        <w:left w:val="none" w:sz="0" w:space="0" w:color="auto"/>
        <w:bottom w:val="none" w:sz="0" w:space="0" w:color="auto"/>
        <w:right w:val="none" w:sz="0" w:space="0" w:color="auto"/>
      </w:divBdr>
    </w:div>
    <w:div w:id="1615020519">
      <w:bodyDiv w:val="1"/>
      <w:marLeft w:val="0"/>
      <w:marRight w:val="0"/>
      <w:marTop w:val="0"/>
      <w:marBottom w:val="0"/>
      <w:divBdr>
        <w:top w:val="none" w:sz="0" w:space="0" w:color="auto"/>
        <w:left w:val="none" w:sz="0" w:space="0" w:color="auto"/>
        <w:bottom w:val="none" w:sz="0" w:space="0" w:color="auto"/>
        <w:right w:val="none" w:sz="0" w:space="0" w:color="auto"/>
      </w:divBdr>
    </w:div>
    <w:div w:id="1631007765">
      <w:bodyDiv w:val="1"/>
      <w:marLeft w:val="0"/>
      <w:marRight w:val="0"/>
      <w:marTop w:val="0"/>
      <w:marBottom w:val="0"/>
      <w:divBdr>
        <w:top w:val="none" w:sz="0" w:space="0" w:color="auto"/>
        <w:left w:val="none" w:sz="0" w:space="0" w:color="auto"/>
        <w:bottom w:val="none" w:sz="0" w:space="0" w:color="auto"/>
        <w:right w:val="none" w:sz="0" w:space="0" w:color="auto"/>
      </w:divBdr>
    </w:div>
    <w:div w:id="1668091251">
      <w:bodyDiv w:val="1"/>
      <w:marLeft w:val="0"/>
      <w:marRight w:val="0"/>
      <w:marTop w:val="0"/>
      <w:marBottom w:val="0"/>
      <w:divBdr>
        <w:top w:val="none" w:sz="0" w:space="0" w:color="auto"/>
        <w:left w:val="none" w:sz="0" w:space="0" w:color="auto"/>
        <w:bottom w:val="none" w:sz="0" w:space="0" w:color="auto"/>
        <w:right w:val="none" w:sz="0" w:space="0" w:color="auto"/>
      </w:divBdr>
    </w:div>
    <w:div w:id="1670910039">
      <w:bodyDiv w:val="1"/>
      <w:marLeft w:val="0"/>
      <w:marRight w:val="0"/>
      <w:marTop w:val="0"/>
      <w:marBottom w:val="0"/>
      <w:divBdr>
        <w:top w:val="none" w:sz="0" w:space="0" w:color="auto"/>
        <w:left w:val="none" w:sz="0" w:space="0" w:color="auto"/>
        <w:bottom w:val="none" w:sz="0" w:space="0" w:color="auto"/>
        <w:right w:val="none" w:sz="0" w:space="0" w:color="auto"/>
      </w:divBdr>
    </w:div>
    <w:div w:id="1678726311">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36313954">
      <w:bodyDiv w:val="1"/>
      <w:marLeft w:val="0"/>
      <w:marRight w:val="0"/>
      <w:marTop w:val="0"/>
      <w:marBottom w:val="0"/>
      <w:divBdr>
        <w:top w:val="none" w:sz="0" w:space="0" w:color="auto"/>
        <w:left w:val="none" w:sz="0" w:space="0" w:color="auto"/>
        <w:bottom w:val="none" w:sz="0" w:space="0" w:color="auto"/>
        <w:right w:val="none" w:sz="0" w:space="0" w:color="auto"/>
      </w:divBdr>
    </w:div>
    <w:div w:id="1738169780">
      <w:bodyDiv w:val="1"/>
      <w:marLeft w:val="0"/>
      <w:marRight w:val="0"/>
      <w:marTop w:val="0"/>
      <w:marBottom w:val="0"/>
      <w:divBdr>
        <w:top w:val="none" w:sz="0" w:space="0" w:color="auto"/>
        <w:left w:val="none" w:sz="0" w:space="0" w:color="auto"/>
        <w:bottom w:val="none" w:sz="0" w:space="0" w:color="auto"/>
        <w:right w:val="none" w:sz="0" w:space="0" w:color="auto"/>
      </w:divBdr>
    </w:div>
    <w:div w:id="1740203498">
      <w:bodyDiv w:val="1"/>
      <w:marLeft w:val="0"/>
      <w:marRight w:val="0"/>
      <w:marTop w:val="0"/>
      <w:marBottom w:val="0"/>
      <w:divBdr>
        <w:top w:val="none" w:sz="0" w:space="0" w:color="auto"/>
        <w:left w:val="none" w:sz="0" w:space="0" w:color="auto"/>
        <w:bottom w:val="none" w:sz="0" w:space="0" w:color="auto"/>
        <w:right w:val="none" w:sz="0" w:space="0" w:color="auto"/>
      </w:divBdr>
    </w:div>
    <w:div w:id="1743486293">
      <w:bodyDiv w:val="1"/>
      <w:marLeft w:val="0"/>
      <w:marRight w:val="0"/>
      <w:marTop w:val="0"/>
      <w:marBottom w:val="0"/>
      <w:divBdr>
        <w:top w:val="none" w:sz="0" w:space="0" w:color="auto"/>
        <w:left w:val="none" w:sz="0" w:space="0" w:color="auto"/>
        <w:bottom w:val="none" w:sz="0" w:space="0" w:color="auto"/>
        <w:right w:val="none" w:sz="0" w:space="0" w:color="auto"/>
      </w:divBdr>
    </w:div>
    <w:div w:id="1747649815">
      <w:bodyDiv w:val="1"/>
      <w:marLeft w:val="0"/>
      <w:marRight w:val="0"/>
      <w:marTop w:val="0"/>
      <w:marBottom w:val="0"/>
      <w:divBdr>
        <w:top w:val="none" w:sz="0" w:space="0" w:color="auto"/>
        <w:left w:val="none" w:sz="0" w:space="0" w:color="auto"/>
        <w:bottom w:val="none" w:sz="0" w:space="0" w:color="auto"/>
        <w:right w:val="none" w:sz="0" w:space="0" w:color="auto"/>
      </w:divBdr>
    </w:div>
    <w:div w:id="1748990392">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11047799">
      <w:bodyDiv w:val="1"/>
      <w:marLeft w:val="0"/>
      <w:marRight w:val="0"/>
      <w:marTop w:val="0"/>
      <w:marBottom w:val="0"/>
      <w:divBdr>
        <w:top w:val="none" w:sz="0" w:space="0" w:color="auto"/>
        <w:left w:val="none" w:sz="0" w:space="0" w:color="auto"/>
        <w:bottom w:val="none" w:sz="0" w:space="0" w:color="auto"/>
        <w:right w:val="none" w:sz="0" w:space="0" w:color="auto"/>
      </w:divBdr>
    </w:div>
    <w:div w:id="1843349431">
      <w:bodyDiv w:val="1"/>
      <w:marLeft w:val="0"/>
      <w:marRight w:val="0"/>
      <w:marTop w:val="0"/>
      <w:marBottom w:val="0"/>
      <w:divBdr>
        <w:top w:val="none" w:sz="0" w:space="0" w:color="auto"/>
        <w:left w:val="none" w:sz="0" w:space="0" w:color="auto"/>
        <w:bottom w:val="none" w:sz="0" w:space="0" w:color="auto"/>
        <w:right w:val="none" w:sz="0" w:space="0" w:color="auto"/>
      </w:divBdr>
    </w:div>
    <w:div w:id="1845585821">
      <w:bodyDiv w:val="1"/>
      <w:marLeft w:val="0"/>
      <w:marRight w:val="0"/>
      <w:marTop w:val="0"/>
      <w:marBottom w:val="0"/>
      <w:divBdr>
        <w:top w:val="none" w:sz="0" w:space="0" w:color="auto"/>
        <w:left w:val="none" w:sz="0" w:space="0" w:color="auto"/>
        <w:bottom w:val="none" w:sz="0" w:space="0" w:color="auto"/>
        <w:right w:val="none" w:sz="0" w:space="0" w:color="auto"/>
      </w:divBdr>
      <w:divsChild>
        <w:div w:id="792292080">
          <w:marLeft w:val="0"/>
          <w:marRight w:val="0"/>
          <w:marTop w:val="0"/>
          <w:marBottom w:val="0"/>
          <w:divBdr>
            <w:top w:val="none" w:sz="0" w:space="0" w:color="auto"/>
            <w:left w:val="none" w:sz="0" w:space="0" w:color="auto"/>
            <w:bottom w:val="none" w:sz="0" w:space="0" w:color="auto"/>
            <w:right w:val="none" w:sz="0" w:space="0" w:color="auto"/>
          </w:divBdr>
        </w:div>
        <w:div w:id="855997792">
          <w:marLeft w:val="0"/>
          <w:marRight w:val="0"/>
          <w:marTop w:val="0"/>
          <w:marBottom w:val="0"/>
          <w:divBdr>
            <w:top w:val="none" w:sz="0" w:space="0" w:color="auto"/>
            <w:left w:val="none" w:sz="0" w:space="0" w:color="auto"/>
            <w:bottom w:val="none" w:sz="0" w:space="0" w:color="auto"/>
            <w:right w:val="none" w:sz="0" w:space="0" w:color="auto"/>
          </w:divBdr>
        </w:div>
        <w:div w:id="1908563374">
          <w:marLeft w:val="0"/>
          <w:marRight w:val="0"/>
          <w:marTop w:val="0"/>
          <w:marBottom w:val="0"/>
          <w:divBdr>
            <w:top w:val="none" w:sz="0" w:space="0" w:color="auto"/>
            <w:left w:val="none" w:sz="0" w:space="0" w:color="auto"/>
            <w:bottom w:val="none" w:sz="0" w:space="0" w:color="auto"/>
            <w:right w:val="none" w:sz="0" w:space="0" w:color="auto"/>
          </w:divBdr>
        </w:div>
        <w:div w:id="1221289795">
          <w:marLeft w:val="0"/>
          <w:marRight w:val="0"/>
          <w:marTop w:val="0"/>
          <w:marBottom w:val="0"/>
          <w:divBdr>
            <w:top w:val="none" w:sz="0" w:space="0" w:color="auto"/>
            <w:left w:val="none" w:sz="0" w:space="0" w:color="auto"/>
            <w:bottom w:val="none" w:sz="0" w:space="0" w:color="auto"/>
            <w:right w:val="none" w:sz="0" w:space="0" w:color="auto"/>
          </w:divBdr>
          <w:divsChild>
            <w:div w:id="1956978919">
              <w:marLeft w:val="0"/>
              <w:marRight w:val="0"/>
              <w:marTop w:val="0"/>
              <w:marBottom w:val="0"/>
              <w:divBdr>
                <w:top w:val="none" w:sz="0" w:space="0" w:color="auto"/>
                <w:left w:val="none" w:sz="0" w:space="0" w:color="auto"/>
                <w:bottom w:val="none" w:sz="0" w:space="0" w:color="auto"/>
                <w:right w:val="none" w:sz="0" w:space="0" w:color="auto"/>
              </w:divBdr>
            </w:div>
          </w:divsChild>
        </w:div>
        <w:div w:id="67844136">
          <w:marLeft w:val="0"/>
          <w:marRight w:val="0"/>
          <w:marTop w:val="0"/>
          <w:marBottom w:val="0"/>
          <w:divBdr>
            <w:top w:val="none" w:sz="0" w:space="0" w:color="auto"/>
            <w:left w:val="none" w:sz="0" w:space="0" w:color="auto"/>
            <w:bottom w:val="none" w:sz="0" w:space="0" w:color="auto"/>
            <w:right w:val="none" w:sz="0" w:space="0" w:color="auto"/>
          </w:divBdr>
        </w:div>
      </w:divsChild>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46631243">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67867015">
      <w:bodyDiv w:val="1"/>
      <w:marLeft w:val="0"/>
      <w:marRight w:val="0"/>
      <w:marTop w:val="0"/>
      <w:marBottom w:val="0"/>
      <w:divBdr>
        <w:top w:val="none" w:sz="0" w:space="0" w:color="auto"/>
        <w:left w:val="none" w:sz="0" w:space="0" w:color="auto"/>
        <w:bottom w:val="none" w:sz="0" w:space="0" w:color="auto"/>
        <w:right w:val="none" w:sz="0" w:space="0" w:color="auto"/>
      </w:divBdr>
    </w:div>
    <w:div w:id="1872306806">
      <w:bodyDiv w:val="1"/>
      <w:marLeft w:val="0"/>
      <w:marRight w:val="0"/>
      <w:marTop w:val="0"/>
      <w:marBottom w:val="0"/>
      <w:divBdr>
        <w:top w:val="none" w:sz="0" w:space="0" w:color="auto"/>
        <w:left w:val="none" w:sz="0" w:space="0" w:color="auto"/>
        <w:bottom w:val="none" w:sz="0" w:space="0" w:color="auto"/>
        <w:right w:val="none" w:sz="0" w:space="0" w:color="auto"/>
      </w:divBdr>
    </w:div>
    <w:div w:id="1878619547">
      <w:bodyDiv w:val="1"/>
      <w:marLeft w:val="0"/>
      <w:marRight w:val="0"/>
      <w:marTop w:val="0"/>
      <w:marBottom w:val="0"/>
      <w:divBdr>
        <w:top w:val="none" w:sz="0" w:space="0" w:color="auto"/>
        <w:left w:val="none" w:sz="0" w:space="0" w:color="auto"/>
        <w:bottom w:val="none" w:sz="0" w:space="0" w:color="auto"/>
        <w:right w:val="none" w:sz="0" w:space="0" w:color="auto"/>
      </w:divBdr>
    </w:div>
    <w:div w:id="1879850780">
      <w:bodyDiv w:val="1"/>
      <w:marLeft w:val="0"/>
      <w:marRight w:val="0"/>
      <w:marTop w:val="0"/>
      <w:marBottom w:val="0"/>
      <w:divBdr>
        <w:top w:val="none" w:sz="0" w:space="0" w:color="auto"/>
        <w:left w:val="none" w:sz="0" w:space="0" w:color="auto"/>
        <w:bottom w:val="none" w:sz="0" w:space="0" w:color="auto"/>
        <w:right w:val="none" w:sz="0" w:space="0" w:color="auto"/>
      </w:divBdr>
    </w:div>
    <w:div w:id="1882129045">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 w:id="1935286104">
      <w:bodyDiv w:val="1"/>
      <w:marLeft w:val="0"/>
      <w:marRight w:val="0"/>
      <w:marTop w:val="0"/>
      <w:marBottom w:val="0"/>
      <w:divBdr>
        <w:top w:val="none" w:sz="0" w:space="0" w:color="auto"/>
        <w:left w:val="none" w:sz="0" w:space="0" w:color="auto"/>
        <w:bottom w:val="none" w:sz="0" w:space="0" w:color="auto"/>
        <w:right w:val="none" w:sz="0" w:space="0" w:color="auto"/>
      </w:divBdr>
    </w:div>
    <w:div w:id="1939218806">
      <w:bodyDiv w:val="1"/>
      <w:marLeft w:val="0"/>
      <w:marRight w:val="0"/>
      <w:marTop w:val="0"/>
      <w:marBottom w:val="0"/>
      <w:divBdr>
        <w:top w:val="none" w:sz="0" w:space="0" w:color="auto"/>
        <w:left w:val="none" w:sz="0" w:space="0" w:color="auto"/>
        <w:bottom w:val="none" w:sz="0" w:space="0" w:color="auto"/>
        <w:right w:val="none" w:sz="0" w:space="0" w:color="auto"/>
      </w:divBdr>
    </w:div>
    <w:div w:id="1945263407">
      <w:bodyDiv w:val="1"/>
      <w:marLeft w:val="0"/>
      <w:marRight w:val="0"/>
      <w:marTop w:val="0"/>
      <w:marBottom w:val="0"/>
      <w:divBdr>
        <w:top w:val="none" w:sz="0" w:space="0" w:color="auto"/>
        <w:left w:val="none" w:sz="0" w:space="0" w:color="auto"/>
        <w:bottom w:val="none" w:sz="0" w:space="0" w:color="auto"/>
        <w:right w:val="none" w:sz="0" w:space="0" w:color="auto"/>
      </w:divBdr>
    </w:div>
    <w:div w:id="1950161160">
      <w:bodyDiv w:val="1"/>
      <w:marLeft w:val="0"/>
      <w:marRight w:val="0"/>
      <w:marTop w:val="0"/>
      <w:marBottom w:val="0"/>
      <w:divBdr>
        <w:top w:val="none" w:sz="0" w:space="0" w:color="auto"/>
        <w:left w:val="none" w:sz="0" w:space="0" w:color="auto"/>
        <w:bottom w:val="none" w:sz="0" w:space="0" w:color="auto"/>
        <w:right w:val="none" w:sz="0" w:space="0" w:color="auto"/>
      </w:divBdr>
    </w:div>
    <w:div w:id="1970359529">
      <w:bodyDiv w:val="1"/>
      <w:marLeft w:val="0"/>
      <w:marRight w:val="0"/>
      <w:marTop w:val="0"/>
      <w:marBottom w:val="0"/>
      <w:divBdr>
        <w:top w:val="none" w:sz="0" w:space="0" w:color="auto"/>
        <w:left w:val="none" w:sz="0" w:space="0" w:color="auto"/>
        <w:bottom w:val="none" w:sz="0" w:space="0" w:color="auto"/>
        <w:right w:val="none" w:sz="0" w:space="0" w:color="auto"/>
      </w:divBdr>
    </w:div>
    <w:div w:id="1980836180">
      <w:bodyDiv w:val="1"/>
      <w:marLeft w:val="0"/>
      <w:marRight w:val="0"/>
      <w:marTop w:val="0"/>
      <w:marBottom w:val="0"/>
      <w:divBdr>
        <w:top w:val="none" w:sz="0" w:space="0" w:color="auto"/>
        <w:left w:val="none" w:sz="0" w:space="0" w:color="auto"/>
        <w:bottom w:val="none" w:sz="0" w:space="0" w:color="auto"/>
        <w:right w:val="none" w:sz="0" w:space="0" w:color="auto"/>
      </w:divBdr>
    </w:div>
    <w:div w:id="1982955035">
      <w:bodyDiv w:val="1"/>
      <w:marLeft w:val="0"/>
      <w:marRight w:val="0"/>
      <w:marTop w:val="0"/>
      <w:marBottom w:val="0"/>
      <w:divBdr>
        <w:top w:val="none" w:sz="0" w:space="0" w:color="auto"/>
        <w:left w:val="none" w:sz="0" w:space="0" w:color="auto"/>
        <w:bottom w:val="none" w:sz="0" w:space="0" w:color="auto"/>
        <w:right w:val="none" w:sz="0" w:space="0" w:color="auto"/>
      </w:divBdr>
    </w:div>
    <w:div w:id="2003389135">
      <w:bodyDiv w:val="1"/>
      <w:marLeft w:val="0"/>
      <w:marRight w:val="0"/>
      <w:marTop w:val="0"/>
      <w:marBottom w:val="0"/>
      <w:divBdr>
        <w:top w:val="none" w:sz="0" w:space="0" w:color="auto"/>
        <w:left w:val="none" w:sz="0" w:space="0" w:color="auto"/>
        <w:bottom w:val="none" w:sz="0" w:space="0" w:color="auto"/>
        <w:right w:val="none" w:sz="0" w:space="0" w:color="auto"/>
      </w:divBdr>
    </w:div>
    <w:div w:id="2004550065">
      <w:bodyDiv w:val="1"/>
      <w:marLeft w:val="0"/>
      <w:marRight w:val="0"/>
      <w:marTop w:val="0"/>
      <w:marBottom w:val="0"/>
      <w:divBdr>
        <w:top w:val="none" w:sz="0" w:space="0" w:color="auto"/>
        <w:left w:val="none" w:sz="0" w:space="0" w:color="auto"/>
        <w:bottom w:val="none" w:sz="0" w:space="0" w:color="auto"/>
        <w:right w:val="none" w:sz="0" w:space="0" w:color="auto"/>
      </w:divBdr>
    </w:div>
    <w:div w:id="2009019490">
      <w:bodyDiv w:val="1"/>
      <w:marLeft w:val="0"/>
      <w:marRight w:val="0"/>
      <w:marTop w:val="0"/>
      <w:marBottom w:val="0"/>
      <w:divBdr>
        <w:top w:val="none" w:sz="0" w:space="0" w:color="auto"/>
        <w:left w:val="none" w:sz="0" w:space="0" w:color="auto"/>
        <w:bottom w:val="none" w:sz="0" w:space="0" w:color="auto"/>
        <w:right w:val="none" w:sz="0" w:space="0" w:color="auto"/>
      </w:divBdr>
    </w:div>
    <w:div w:id="2058165266">
      <w:bodyDiv w:val="1"/>
      <w:marLeft w:val="0"/>
      <w:marRight w:val="0"/>
      <w:marTop w:val="0"/>
      <w:marBottom w:val="0"/>
      <w:divBdr>
        <w:top w:val="none" w:sz="0" w:space="0" w:color="auto"/>
        <w:left w:val="none" w:sz="0" w:space="0" w:color="auto"/>
        <w:bottom w:val="none" w:sz="0" w:space="0" w:color="auto"/>
        <w:right w:val="none" w:sz="0" w:space="0" w:color="auto"/>
      </w:divBdr>
    </w:div>
    <w:div w:id="2078942194">
      <w:bodyDiv w:val="1"/>
      <w:marLeft w:val="0"/>
      <w:marRight w:val="0"/>
      <w:marTop w:val="0"/>
      <w:marBottom w:val="0"/>
      <w:divBdr>
        <w:top w:val="none" w:sz="0" w:space="0" w:color="auto"/>
        <w:left w:val="none" w:sz="0" w:space="0" w:color="auto"/>
        <w:bottom w:val="none" w:sz="0" w:space="0" w:color="auto"/>
        <w:right w:val="none" w:sz="0" w:space="0" w:color="auto"/>
      </w:divBdr>
    </w:div>
    <w:div w:id="2096170225">
      <w:bodyDiv w:val="1"/>
      <w:marLeft w:val="0"/>
      <w:marRight w:val="0"/>
      <w:marTop w:val="0"/>
      <w:marBottom w:val="0"/>
      <w:divBdr>
        <w:top w:val="none" w:sz="0" w:space="0" w:color="auto"/>
        <w:left w:val="none" w:sz="0" w:space="0" w:color="auto"/>
        <w:bottom w:val="none" w:sz="0" w:space="0" w:color="auto"/>
        <w:right w:val="none" w:sz="0" w:space="0" w:color="auto"/>
      </w:divBdr>
    </w:div>
    <w:div w:id="2105760409">
      <w:bodyDiv w:val="1"/>
      <w:marLeft w:val="0"/>
      <w:marRight w:val="0"/>
      <w:marTop w:val="0"/>
      <w:marBottom w:val="0"/>
      <w:divBdr>
        <w:top w:val="none" w:sz="0" w:space="0" w:color="auto"/>
        <w:left w:val="none" w:sz="0" w:space="0" w:color="auto"/>
        <w:bottom w:val="none" w:sz="0" w:space="0" w:color="auto"/>
        <w:right w:val="none" w:sz="0" w:space="0" w:color="auto"/>
      </w:divBdr>
    </w:div>
    <w:div w:id="2111078145">
      <w:bodyDiv w:val="1"/>
      <w:marLeft w:val="0"/>
      <w:marRight w:val="0"/>
      <w:marTop w:val="0"/>
      <w:marBottom w:val="0"/>
      <w:divBdr>
        <w:top w:val="none" w:sz="0" w:space="0" w:color="auto"/>
        <w:left w:val="none" w:sz="0" w:space="0" w:color="auto"/>
        <w:bottom w:val="none" w:sz="0" w:space="0" w:color="auto"/>
        <w:right w:val="none" w:sz="0" w:space="0" w:color="auto"/>
      </w:divBdr>
    </w:div>
    <w:div w:id="2125495683">
      <w:bodyDiv w:val="1"/>
      <w:marLeft w:val="0"/>
      <w:marRight w:val="0"/>
      <w:marTop w:val="0"/>
      <w:marBottom w:val="0"/>
      <w:divBdr>
        <w:top w:val="none" w:sz="0" w:space="0" w:color="auto"/>
        <w:left w:val="none" w:sz="0" w:space="0" w:color="auto"/>
        <w:bottom w:val="none" w:sz="0" w:space="0" w:color="auto"/>
        <w:right w:val="none" w:sz="0" w:space="0" w:color="auto"/>
      </w:divBdr>
    </w:div>
    <w:div w:id="2139298579">
      <w:bodyDiv w:val="1"/>
      <w:marLeft w:val="0"/>
      <w:marRight w:val="0"/>
      <w:marTop w:val="0"/>
      <w:marBottom w:val="0"/>
      <w:divBdr>
        <w:top w:val="none" w:sz="0" w:space="0" w:color="auto"/>
        <w:left w:val="none" w:sz="0" w:space="0" w:color="auto"/>
        <w:bottom w:val="none" w:sz="0" w:space="0" w:color="auto"/>
        <w:right w:val="none" w:sz="0" w:space="0" w:color="auto"/>
      </w:divBdr>
    </w:div>
    <w:div w:id="2141487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03-e/Inbox/drafts/8.6/TRupdate/TP/RedCapTRupdate-v006-Rapporteur-Rapporteur.docx"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1_RL1/TSGR1_103-e/Inbox/drafts/8.6/TRupdate/TP/RedCapTRupdate-v005-Rapporteur-Rapporteur.docx"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1_RL1/TSGR1_103-e/Docs/R1-2009843.zip" TargetMode="External"/><Relationship Id="rId5" Type="http://schemas.openxmlformats.org/officeDocument/2006/relationships/numbering" Target="numbering.xml"/><Relationship Id="rId15" Type="http://schemas.openxmlformats.org/officeDocument/2006/relationships/hyperlink" Target="https://www.3gpp.org/ftp/tsg_ran/WG1_RL1/TSGR1_103-e/Inbox/drafts/8.6/TRupdate/TP/RedCapTRupdate-v005-Rapporteur-Rapporteur.docx"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1_RL1/TSGR1_103-e/Docs/R1-200981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E03A6-3D3B-4FDF-8134-922FA41B90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A95057-2B18-43D5-A054-6FBE6E4FB327}">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A0E3DB9C-965A-472E-BAD8-5D9C49C90F81}">
  <ds:schemaRefs>
    <ds:schemaRef ds:uri="http://schemas.microsoft.com/sharepoint/v3/contenttype/forms"/>
  </ds:schemaRefs>
</ds:datastoreItem>
</file>

<file path=customXml/itemProps4.xml><?xml version="1.0" encoding="utf-8"?>
<ds:datastoreItem xmlns:ds="http://schemas.openxmlformats.org/officeDocument/2006/customXml" ds:itemID="{1C1E53B9-5D68-43CD-9A98-D54C79F983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7</Pages>
  <Words>3181</Words>
  <Characters>16861</Characters>
  <Application>Microsoft Office Word</Application>
  <DocSecurity>0</DocSecurity>
  <Lines>140</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20002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Author</cp:lastModifiedBy>
  <cp:revision>20</cp:revision>
  <dcterms:created xsi:type="dcterms:W3CDTF">2020-11-19T06:19:00Z</dcterms:created>
  <dcterms:modified xsi:type="dcterms:W3CDTF">2020-11-19T20:51:00Z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NSCPROP_SA">
    <vt:lpwstr>C:\Users\feifei.sun\Desktop\102e\Redcap 01 complexity\RedCap-Complexity-FLS1-v010_Pana-vivo.docx</vt:lpwstr>
  </property>
  <property fmtid="{D5CDD505-2E9C-101B-9397-08002B2CF9AE}" pid="4" name="_2015_ms_pID_725343">
    <vt:lpwstr>(2)QsR7k+GE8EuEIFSNgcXYYqRngZRnDRXq5AmGXz1awuSoCaiuAq0zoUGlPg7INsWhQyOr1AhU
iPGJuHqCtRnXxFGQzoc4RgseISgKbmJLRPVvPTta1L8L4ebZjfmCCxxSU+vNcTGjzoZcWH2r
5Vd7nxoecUupFJVeT/5n987iecX0NWVrnRdir+UHxw6zSnSitxpZf84HL6KVqTZlEuSc5ys5
B7TfFpfmzD9fnGRhCk</vt:lpwstr>
  </property>
  <property fmtid="{D5CDD505-2E9C-101B-9397-08002B2CF9AE}" pid="5" name="_2015_ms_pID_7253431">
    <vt:lpwstr>8keBgRQfSrk2Zfyp+e40bxKvosX43psOr5ttgF/eNqcTp/9VfJ2uJM
JwrzASv2qEPHPQ0rkObBoMrioKz2LwmwHdNSPCrqvETJTrrMDFxMszdXx0oc1StNpQkU5gxn
N8p/Cnhn9JVVm545B8C3UAJNe0A6kj9PNacuY0wGvA/CLZfrl7q66fXoedNNXEG/BSEOJsEP
0X77g6PZHdD4xlnA</vt:lpwstr>
  </property>
  <property fmtid="{D5CDD505-2E9C-101B-9397-08002B2CF9AE}" pid="6" name="TitusGUID">
    <vt:lpwstr>8616ceb5-8c45-41b3-9cb9-4490480587ca</vt:lpwstr>
  </property>
  <property fmtid="{D5CDD505-2E9C-101B-9397-08002B2CF9AE}" pid="7" name="CTP_TimeStamp">
    <vt:lpwstr>2020-08-26 05:18:28Z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ies>
</file>